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828F" w14:textId="2D967D92" w:rsidR="00704508" w:rsidRDefault="009F4835" w:rsidP="00704508">
      <w:pPr>
        <w:jc w:val="center"/>
        <w:rPr>
          <w:b/>
          <w:bCs/>
        </w:rPr>
      </w:pPr>
      <w:r>
        <w:rPr>
          <w:b/>
          <w:bCs/>
        </w:rPr>
        <w:t xml:space="preserve">EFSPI </w:t>
      </w:r>
      <w:r w:rsidR="00533E82">
        <w:rPr>
          <w:b/>
          <w:bCs/>
        </w:rPr>
        <w:t xml:space="preserve">Regulatory SIG </w:t>
      </w:r>
      <w:r w:rsidR="00704508">
        <w:rPr>
          <w:b/>
          <w:bCs/>
        </w:rPr>
        <w:t>Meeting with MHRA Statisticians</w:t>
      </w:r>
      <w:r w:rsidR="00533E82">
        <w:rPr>
          <w:b/>
          <w:bCs/>
        </w:rPr>
        <w:t xml:space="preserve"> on </w:t>
      </w:r>
      <w:r w:rsidR="00704508">
        <w:rPr>
          <w:b/>
          <w:bCs/>
        </w:rPr>
        <w:t>17th November 2021</w:t>
      </w:r>
    </w:p>
    <w:p w14:paraId="06B7A3B6" w14:textId="3318DC50" w:rsidR="00533E82" w:rsidRPr="00533E82" w:rsidRDefault="00533E82" w:rsidP="00704508">
      <w:r w:rsidRPr="00533E82">
        <w:t>As</w:t>
      </w:r>
      <w:r>
        <w:t xml:space="preserve"> was the case in 2020, the annual meeting with the MHRA statisticians took place </w:t>
      </w:r>
      <w:r w:rsidR="009E2AE9">
        <w:t>virtually</w:t>
      </w:r>
      <w:r>
        <w:t xml:space="preserve">.  Five statisticians from the MHRA and </w:t>
      </w:r>
      <w:r w:rsidR="00C00A89">
        <w:t>19</w:t>
      </w:r>
      <w:r>
        <w:t xml:space="preserve"> members of the SIG attended the meeting.  As usual, it was an open and interesting exchange of </w:t>
      </w:r>
      <w:r w:rsidR="00BD1021">
        <w:t xml:space="preserve">information and </w:t>
      </w:r>
      <w:r>
        <w:t>i</w:t>
      </w:r>
      <w:r w:rsidR="00C00A89">
        <w:t>deas</w:t>
      </w:r>
      <w:r w:rsidR="00BD1021">
        <w:t>.</w:t>
      </w:r>
    </w:p>
    <w:p w14:paraId="08D5194A" w14:textId="54F5EDAF" w:rsidR="00C00A89" w:rsidRPr="00C00A89" w:rsidRDefault="00C00A89" w:rsidP="00704508">
      <w:pPr>
        <w:rPr>
          <w:b/>
          <w:bCs/>
        </w:rPr>
      </w:pPr>
      <w:r w:rsidRPr="00C00A89">
        <w:rPr>
          <w:b/>
          <w:bCs/>
        </w:rPr>
        <w:t>Post</w:t>
      </w:r>
      <w:r>
        <w:rPr>
          <w:b/>
          <w:bCs/>
        </w:rPr>
        <w:t>-Brexit Regulatory World</w:t>
      </w:r>
    </w:p>
    <w:p w14:paraId="0CA503CD" w14:textId="51B2805F" w:rsidR="00704508" w:rsidRDefault="001353D3" w:rsidP="00704508">
      <w:r>
        <w:t>The MHRA statisticians i</w:t>
      </w:r>
      <w:r w:rsidR="00704508">
        <w:t>ntroduced</w:t>
      </w:r>
      <w:r w:rsidR="00C00A89">
        <w:t xml:space="preserve"> the SIG to</w:t>
      </w:r>
      <w:r w:rsidR="00704508">
        <w:t xml:space="preserve"> </w:t>
      </w:r>
      <w:r w:rsidR="00704508" w:rsidRPr="00272C68">
        <w:rPr>
          <w:b/>
          <w:bCs/>
          <w:u w:val="single"/>
        </w:rPr>
        <w:t>the Innovative Licen</w:t>
      </w:r>
      <w:r w:rsidR="009F4835" w:rsidRPr="00272C68">
        <w:rPr>
          <w:b/>
          <w:bCs/>
          <w:u w:val="single"/>
        </w:rPr>
        <w:t>s</w:t>
      </w:r>
      <w:r w:rsidR="00704508" w:rsidRPr="00272C68">
        <w:rPr>
          <w:b/>
          <w:bCs/>
          <w:u w:val="single"/>
        </w:rPr>
        <w:t>ing and Access Pathway (ILAP)</w:t>
      </w:r>
      <w:r w:rsidR="00704508">
        <w:t>.  This is a collaboration with NICE</w:t>
      </w:r>
      <w:r>
        <w:t>,</w:t>
      </w:r>
      <w:r w:rsidR="00704508">
        <w:t xml:space="preserve"> </w:t>
      </w:r>
      <w:r w:rsidR="0052427F">
        <w:t xml:space="preserve">the </w:t>
      </w:r>
      <w:r w:rsidR="00704508">
        <w:t xml:space="preserve">Scottish Medicines </w:t>
      </w:r>
      <w:r w:rsidR="00D96796">
        <w:t xml:space="preserve">Consortium and </w:t>
      </w:r>
      <w:r w:rsidR="009F4835">
        <w:t>t</w:t>
      </w:r>
      <w:r w:rsidR="00D96796">
        <w:t>he</w:t>
      </w:r>
      <w:r w:rsidR="00704508">
        <w:t xml:space="preserve"> </w:t>
      </w:r>
      <w:proofErr w:type="gramStart"/>
      <w:r w:rsidR="00704508">
        <w:t>All Wales</w:t>
      </w:r>
      <w:proofErr w:type="gramEnd"/>
      <w:r w:rsidR="00704508">
        <w:t xml:space="preserve"> T</w:t>
      </w:r>
      <w:r w:rsidR="00D96796">
        <w:t>h</w:t>
      </w:r>
      <w:r w:rsidR="00704508">
        <w:t>erapeutics</w:t>
      </w:r>
      <w:r w:rsidR="00D96796">
        <w:t xml:space="preserve"> and Toxicology Centre</w:t>
      </w:r>
      <w:r w:rsidR="00EF76BE">
        <w:t>,</w:t>
      </w:r>
      <w:r w:rsidR="00704508">
        <w:t xml:space="preserve"> </w:t>
      </w:r>
      <w:r w:rsidR="00C00A89">
        <w:t>which</w:t>
      </w:r>
      <w:r w:rsidR="00704508">
        <w:t xml:space="preserve"> gives the opportunity for sponsors to meet regulators and </w:t>
      </w:r>
      <w:r w:rsidR="001C00D5">
        <w:t>Health Technology Assessment (</w:t>
      </w:r>
      <w:r w:rsidR="00704508">
        <w:t>HTA</w:t>
      </w:r>
      <w:r w:rsidR="001C00D5">
        <w:t>)</w:t>
      </w:r>
      <w:r w:rsidR="00704508">
        <w:t xml:space="preserve"> bodies in the same room.  </w:t>
      </w:r>
      <w:r w:rsidR="00D96796">
        <w:t xml:space="preserve">There are </w:t>
      </w:r>
      <w:proofErr w:type="gramStart"/>
      <w:r w:rsidR="00D96796">
        <w:t>a number of</w:t>
      </w:r>
      <w:proofErr w:type="gramEnd"/>
      <w:r w:rsidR="00D96796">
        <w:t xml:space="preserve"> c</w:t>
      </w:r>
      <w:r w:rsidR="006A7C48">
        <w:t>riteria to enter the process</w:t>
      </w:r>
      <w:r w:rsidR="00C00A89">
        <w:t>,</w:t>
      </w:r>
      <w:r w:rsidR="006A7C48">
        <w:t xml:space="preserve"> includ</w:t>
      </w:r>
      <w:r w:rsidR="00D96796">
        <w:t>ing</w:t>
      </w:r>
      <w:r w:rsidR="006A7C48">
        <w:t xml:space="preserve"> that this must be a</w:t>
      </w:r>
      <w:r w:rsidR="00F832CD">
        <w:t>n actual</w:t>
      </w:r>
      <w:r w:rsidR="006A7C48">
        <w:t xml:space="preserve"> drug development programme</w:t>
      </w:r>
      <w:r w:rsidR="00F832CD">
        <w:t xml:space="preserve"> for a specific product; it is</w:t>
      </w:r>
      <w:r w:rsidR="006A7C48">
        <w:t xml:space="preserve"> not a general </w:t>
      </w:r>
      <w:r w:rsidR="007F6276">
        <w:t xml:space="preserve">scientific/regulatory </w:t>
      </w:r>
      <w:r w:rsidR="006A7C48">
        <w:t>advice process.</w:t>
      </w:r>
    </w:p>
    <w:p w14:paraId="6C34F715" w14:textId="54EDD3F6" w:rsidR="00D96796" w:rsidRDefault="00BE78E2" w:rsidP="00D96796">
      <w:r>
        <w:t>As part of the ILAP</w:t>
      </w:r>
      <w:r w:rsidR="00BE66A9">
        <w:t>,</w:t>
      </w:r>
      <w:r>
        <w:t xml:space="preserve"> a</w:t>
      </w:r>
      <w:r w:rsidR="001353D3">
        <w:t xml:space="preserve"> t</w:t>
      </w:r>
      <w:r w:rsidR="00D96796">
        <w:t xml:space="preserve">arget development profile </w:t>
      </w:r>
      <w:r w:rsidR="007F6276">
        <w:t xml:space="preserve">(TDP) </w:t>
      </w:r>
      <w:r w:rsidR="00D96796">
        <w:t xml:space="preserve">is created </w:t>
      </w:r>
      <w:r w:rsidR="009209B3">
        <w:t xml:space="preserve">and is </w:t>
      </w:r>
      <w:r w:rsidR="00D96796">
        <w:t xml:space="preserve">made up of </w:t>
      </w:r>
      <w:r w:rsidR="000D10D5">
        <w:t xml:space="preserve">a selection of </w:t>
      </w:r>
      <w:r w:rsidR="00D96796">
        <w:t xml:space="preserve">toolkits </w:t>
      </w:r>
      <w:r w:rsidR="000D10D5">
        <w:t xml:space="preserve">which can </w:t>
      </w:r>
      <w:proofErr w:type="gramStart"/>
      <w:r w:rsidR="000D10D5">
        <w:t>include</w:t>
      </w:r>
      <w:r w:rsidR="00D96796">
        <w:t>:</w:t>
      </w:r>
      <w:proofErr w:type="gramEnd"/>
      <w:r w:rsidR="00D96796">
        <w:t xml:space="preserve"> adaptive inspections, certifications, continuous benefit-risk assessment supplemented with real world evidence, assistance with patient recruitment and patient management, novel methodology and trial design, rapid dossier pre-assessment and innovative licensing </w:t>
      </w:r>
      <w:r w:rsidR="00080F8C">
        <w:t>routes</w:t>
      </w:r>
      <w:r w:rsidR="00D96796">
        <w:t xml:space="preserve">.  </w:t>
      </w:r>
      <w:r w:rsidR="00080F8C">
        <w:t>The licensing routes include a</w:t>
      </w:r>
      <w:r w:rsidR="00D96796">
        <w:t>ccelerated assessment</w:t>
      </w:r>
      <w:r w:rsidR="00080F8C">
        <w:t xml:space="preserve"> (a </w:t>
      </w:r>
      <w:proofErr w:type="gramStart"/>
      <w:r w:rsidR="00D96796">
        <w:t>150 day</w:t>
      </w:r>
      <w:proofErr w:type="gramEnd"/>
      <w:r w:rsidR="00D96796">
        <w:t xml:space="preserve"> process</w:t>
      </w:r>
      <w:r w:rsidR="00080F8C">
        <w:t>)</w:t>
      </w:r>
      <w:r w:rsidR="00D96796">
        <w:t>, rolling review, conditional approval</w:t>
      </w:r>
      <w:r w:rsidR="00080F8C">
        <w:t xml:space="preserve"> and</w:t>
      </w:r>
      <w:r w:rsidR="00D96796">
        <w:t xml:space="preserve"> full approval but with conditions.</w:t>
      </w:r>
    </w:p>
    <w:p w14:paraId="51236FEF" w14:textId="73723FAF" w:rsidR="009D75AD" w:rsidRDefault="009D75AD" w:rsidP="009D75AD">
      <w:r>
        <w:t xml:space="preserve">The novel methodology toolkit includes opportunities for qualification of new methodologies, agreement on novel approaches to evidence generation, use of AI or virtual tools.  This differs from the service of the Innovation Office </w:t>
      </w:r>
      <w:r w:rsidR="00F04AB8">
        <w:t>which</w:t>
      </w:r>
      <w:r>
        <w:t xml:space="preserve"> can be used for more general topics and does not need a specific drug product to be attached to the proposal.</w:t>
      </w:r>
    </w:p>
    <w:p w14:paraId="578A0B86" w14:textId="77777777" w:rsidR="009D75AD" w:rsidRDefault="009D75AD" w:rsidP="009D75AD">
      <w:r>
        <w:t>More information here:</w:t>
      </w:r>
    </w:p>
    <w:p w14:paraId="65E8FC81" w14:textId="77777777" w:rsidR="009D75AD" w:rsidRDefault="001D2442" w:rsidP="009D75AD">
      <w:hyperlink r:id="rId10" w:history="1">
        <w:r w:rsidR="009D75AD" w:rsidRPr="009A49BB">
          <w:rPr>
            <w:rStyle w:val="Hyperlink"/>
          </w:rPr>
          <w:t>https://www.gov.uk/guidance/innovative-licensing-and-access-pathway</w:t>
        </w:r>
      </w:hyperlink>
    </w:p>
    <w:p w14:paraId="58C6FFAB" w14:textId="34734671" w:rsidR="00AD2790" w:rsidRDefault="00275B6D" w:rsidP="00080F8C">
      <w:r>
        <w:t xml:space="preserve">Other new regulatory pathways </w:t>
      </w:r>
      <w:r w:rsidR="00080F8C">
        <w:t>in</w:t>
      </w:r>
      <w:r w:rsidR="001353D3">
        <w:t>clud</w:t>
      </w:r>
      <w:r w:rsidR="00080F8C">
        <w:t xml:space="preserve">e Project ORBIS, a collaboration that includes the FDA and focuses on </w:t>
      </w:r>
      <w:r w:rsidR="009B5586">
        <w:t xml:space="preserve">innovative </w:t>
      </w:r>
      <w:r w:rsidR="00080F8C">
        <w:t xml:space="preserve">oncology drugs, as well as the Access Consortium, </w:t>
      </w:r>
      <w:r w:rsidR="00AD2790">
        <w:t xml:space="preserve">a regulatory collaboration between UK, Australia, Canada, </w:t>
      </w:r>
      <w:proofErr w:type="gramStart"/>
      <w:r w:rsidR="00AD2790">
        <w:t>Singapore</w:t>
      </w:r>
      <w:proofErr w:type="gramEnd"/>
      <w:r w:rsidR="00AD2790">
        <w:t xml:space="preserve"> and Switzerland.</w:t>
      </w:r>
    </w:p>
    <w:p w14:paraId="1699104E" w14:textId="6DA45917" w:rsidR="002877D3" w:rsidRDefault="002877D3" w:rsidP="00080F8C">
      <w:r>
        <w:t>More information here:</w:t>
      </w:r>
    </w:p>
    <w:p w14:paraId="54FAA7DD" w14:textId="01E2A2A6" w:rsidR="002877D3" w:rsidRDefault="001D2442" w:rsidP="00080F8C">
      <w:hyperlink r:id="rId11" w:history="1">
        <w:r w:rsidR="008066F3" w:rsidRPr="00A612D4">
          <w:rPr>
            <w:rStyle w:val="Hyperlink"/>
          </w:rPr>
          <w:t>https://www.gov.uk/guidance/guidance-on-project-orbis</w:t>
        </w:r>
      </w:hyperlink>
    </w:p>
    <w:p w14:paraId="37D02121" w14:textId="30A1E523" w:rsidR="008066F3" w:rsidRDefault="008066F3" w:rsidP="00080F8C">
      <w:r w:rsidRPr="008066F3">
        <w:t>https://www.gov.uk/guidance/access-consortium</w:t>
      </w:r>
    </w:p>
    <w:p w14:paraId="25DB99BF" w14:textId="15263C1D" w:rsidR="009E2AE9" w:rsidRPr="009E2AE9" w:rsidRDefault="009E2AE9" w:rsidP="00704508">
      <w:pPr>
        <w:rPr>
          <w:b/>
          <w:bCs/>
        </w:rPr>
      </w:pPr>
      <w:r>
        <w:rPr>
          <w:b/>
          <w:bCs/>
        </w:rPr>
        <w:t>Major Restructure of the MHRA</w:t>
      </w:r>
    </w:p>
    <w:p w14:paraId="62ECE39B" w14:textId="361A5CB2" w:rsidR="0001421A" w:rsidRDefault="009E2AE9" w:rsidP="00704508">
      <w:r>
        <w:t xml:space="preserve">The MHRA statisticians discussed the </w:t>
      </w:r>
      <w:r w:rsidR="005F456C" w:rsidRPr="00B308C6">
        <w:t>ongoing</w:t>
      </w:r>
      <w:r>
        <w:t xml:space="preserve"> restructure of the MHRA</w:t>
      </w:r>
      <w:r w:rsidR="0001421A">
        <w:t xml:space="preserve">.  Chief Officers have been appointed to head up new areas which </w:t>
      </w:r>
      <w:r w:rsidR="0003131B">
        <w:t xml:space="preserve">include </w:t>
      </w:r>
      <w:r w:rsidR="0001421A">
        <w:t xml:space="preserve">Science Research and Innovation, Safety and </w:t>
      </w:r>
      <w:r w:rsidR="004A1497">
        <w:t xml:space="preserve">Surveillance, Healthcare Quality and Access (which will include the statisticians).  There will be more matrix working across </w:t>
      </w:r>
      <w:r w:rsidR="00250AB7">
        <w:t>these areas</w:t>
      </w:r>
      <w:r w:rsidR="004A1497">
        <w:t xml:space="preserve">.  The hope is that the new structure will add value </w:t>
      </w:r>
      <w:r w:rsidR="00E30127">
        <w:t xml:space="preserve">by </w:t>
      </w:r>
      <w:r w:rsidR="005E0170">
        <w:t>enabling innovation, bring</w:t>
      </w:r>
      <w:r w:rsidR="00777AF5">
        <w:t>ing</w:t>
      </w:r>
      <w:r w:rsidR="004B4545">
        <w:t>/incorporating</w:t>
      </w:r>
      <w:r w:rsidR="005E0170">
        <w:t xml:space="preserve"> patients</w:t>
      </w:r>
      <w:r w:rsidR="00523632">
        <w:t>’</w:t>
      </w:r>
      <w:r w:rsidR="005E0170">
        <w:t xml:space="preserve"> </w:t>
      </w:r>
      <w:proofErr w:type="gramStart"/>
      <w:r w:rsidR="004B4545">
        <w:t>views</w:t>
      </w:r>
      <w:proofErr w:type="gramEnd"/>
      <w:r w:rsidR="004B4545">
        <w:t xml:space="preserve"> and perspectives </w:t>
      </w:r>
      <w:r w:rsidR="005E0170">
        <w:t>more in</w:t>
      </w:r>
      <w:r w:rsidR="006A7E0C">
        <w:t>to</w:t>
      </w:r>
      <w:r w:rsidR="005E0170">
        <w:t xml:space="preserve"> decision making, </w:t>
      </w:r>
      <w:r w:rsidR="00E30127">
        <w:t>accelerating</w:t>
      </w:r>
      <w:r w:rsidR="004A1497">
        <w:t xml:space="preserve"> access to medications and bolster</w:t>
      </w:r>
      <w:r w:rsidR="00777AF5">
        <w:t>ing</w:t>
      </w:r>
      <w:r w:rsidR="004A1497">
        <w:t xml:space="preserve"> safety.  The </w:t>
      </w:r>
      <w:r w:rsidR="001353D3">
        <w:t xml:space="preserve">downside is that the </w:t>
      </w:r>
      <w:r w:rsidR="004A1497">
        <w:t xml:space="preserve">workforce </w:t>
      </w:r>
      <w:r w:rsidR="001353D3">
        <w:t xml:space="preserve">at the MHRA </w:t>
      </w:r>
      <w:r w:rsidR="004A1497">
        <w:t xml:space="preserve">has </w:t>
      </w:r>
      <w:r w:rsidR="00687DCA">
        <w:t xml:space="preserve">seen </w:t>
      </w:r>
      <w:r w:rsidR="00FD00E1">
        <w:t>a large reduction</w:t>
      </w:r>
      <w:r w:rsidR="004A1497">
        <w:t>.</w:t>
      </w:r>
    </w:p>
    <w:p w14:paraId="4A919F6A" w14:textId="4A20B5D4" w:rsidR="007B1E37" w:rsidRDefault="007B1E37" w:rsidP="00704508">
      <w:pPr>
        <w:rPr>
          <w:b/>
          <w:bCs/>
        </w:rPr>
      </w:pPr>
      <w:r w:rsidRPr="0001421A">
        <w:rPr>
          <w:b/>
          <w:bCs/>
        </w:rPr>
        <w:t>Will MHRA be developing new guidelines?</w:t>
      </w:r>
    </w:p>
    <w:p w14:paraId="14E104DC" w14:textId="219B3F9B" w:rsidR="000B63C7" w:rsidRDefault="004A1497" w:rsidP="00704508">
      <w:r>
        <w:lastRenderedPageBreak/>
        <w:t>Currently t</w:t>
      </w:r>
      <w:r w:rsidRPr="004A1497">
        <w:t>he</w:t>
      </w:r>
      <w:r>
        <w:t xml:space="preserve"> MHRA </w:t>
      </w:r>
      <w:r w:rsidR="009F4835">
        <w:t>is</w:t>
      </w:r>
      <w:r>
        <w:t xml:space="preserve"> </w:t>
      </w:r>
      <w:r w:rsidR="00D8297E">
        <w:t xml:space="preserve">still </w:t>
      </w:r>
      <w:r w:rsidR="003222F9">
        <w:t>following</w:t>
      </w:r>
      <w:r>
        <w:t xml:space="preserve"> </w:t>
      </w:r>
      <w:r w:rsidR="00D8297E">
        <w:t xml:space="preserve">existing </w:t>
      </w:r>
      <w:r>
        <w:t>EMA guidelines</w:t>
      </w:r>
      <w:r w:rsidR="00BC274E">
        <w:t>.</w:t>
      </w:r>
      <w:r w:rsidR="003222F9">
        <w:t xml:space="preserve"> </w:t>
      </w:r>
      <w:r>
        <w:t>There is no intention for</w:t>
      </w:r>
      <w:r w:rsidR="00BC274E">
        <w:t xml:space="preserve"> </w:t>
      </w:r>
      <w:r w:rsidR="00446AC1">
        <w:t>the MHRA</w:t>
      </w:r>
      <w:r>
        <w:t xml:space="preserve"> to diverge greatly from the </w:t>
      </w:r>
      <w:r w:rsidR="00446AC1">
        <w:t xml:space="preserve">EMA </w:t>
      </w:r>
      <w:r>
        <w:t xml:space="preserve">guidelines as </w:t>
      </w:r>
      <w:r w:rsidR="00446AC1">
        <w:t xml:space="preserve">the MHRA </w:t>
      </w:r>
      <w:r>
        <w:t xml:space="preserve">were involved in </w:t>
      </w:r>
      <w:r w:rsidR="00446AC1">
        <w:t xml:space="preserve">developing and </w:t>
      </w:r>
      <w:r>
        <w:t xml:space="preserve">writing them, so </w:t>
      </w:r>
      <w:proofErr w:type="gramStart"/>
      <w:r>
        <w:t>are in agreement</w:t>
      </w:r>
      <w:proofErr w:type="gramEnd"/>
      <w:r>
        <w:t xml:space="preserve"> with the principles</w:t>
      </w:r>
      <w:r w:rsidR="003A6E03">
        <w:t xml:space="preserve"> outline</w:t>
      </w:r>
      <w:r w:rsidR="001275EC">
        <w:t>d</w:t>
      </w:r>
      <w:r w:rsidR="003A6E03">
        <w:t xml:space="preserve"> in these</w:t>
      </w:r>
      <w:r>
        <w:t>.</w:t>
      </w:r>
      <w:r w:rsidR="00E30127">
        <w:t xml:space="preserve"> New guidelines might be created </w:t>
      </w:r>
      <w:r w:rsidR="00D45C58">
        <w:t xml:space="preserve">by MHRA </w:t>
      </w:r>
      <w:r w:rsidR="008F12C3">
        <w:t>which are additive</w:t>
      </w:r>
      <w:r w:rsidR="001B5285">
        <w:t xml:space="preserve"> to </w:t>
      </w:r>
      <w:r w:rsidR="003A6E03">
        <w:t xml:space="preserve">existing </w:t>
      </w:r>
      <w:r w:rsidR="00E30127">
        <w:t>EMA guidelines, for example,</w:t>
      </w:r>
      <w:r>
        <w:t xml:space="preserve"> </w:t>
      </w:r>
      <w:r w:rsidR="00AF2955">
        <w:t xml:space="preserve">the </w:t>
      </w:r>
      <w:r w:rsidR="001B5285">
        <w:t xml:space="preserve">MHRA </w:t>
      </w:r>
      <w:r w:rsidR="000B63C7">
        <w:t>has just published</w:t>
      </w:r>
      <w:r w:rsidR="008E085A">
        <w:t xml:space="preserve"> one on the use of </w:t>
      </w:r>
      <w:proofErr w:type="gramStart"/>
      <w:r w:rsidR="008E085A">
        <w:t>real world</w:t>
      </w:r>
      <w:proofErr w:type="gramEnd"/>
      <w:r w:rsidR="008E085A">
        <w:t xml:space="preserve"> </w:t>
      </w:r>
      <w:r w:rsidR="00635B90">
        <w:t xml:space="preserve">data </w:t>
      </w:r>
      <w:r w:rsidR="00E30127">
        <w:t>in randomized clinical trials</w:t>
      </w:r>
      <w:r w:rsidR="00EF42F2">
        <w:t>, included in a Real World Data guidance series</w:t>
      </w:r>
      <w:r w:rsidR="008E085A">
        <w:t xml:space="preserve">. </w:t>
      </w:r>
      <w:r w:rsidR="001275EC">
        <w:t xml:space="preserve"> </w:t>
      </w:r>
      <w:r w:rsidR="000B63C7">
        <w:t>This includes some discussion of n</w:t>
      </w:r>
      <w:r w:rsidR="000B63C7" w:rsidRPr="000B63C7">
        <w:t>on-inferiority</w:t>
      </w:r>
      <w:r w:rsidR="0037528A">
        <w:t xml:space="preserve"> trials </w:t>
      </w:r>
      <w:r w:rsidR="000B63C7" w:rsidRPr="000B63C7">
        <w:t xml:space="preserve">and </w:t>
      </w:r>
      <w:r w:rsidR="0037528A">
        <w:t xml:space="preserve">there is mention of </w:t>
      </w:r>
      <w:proofErr w:type="spellStart"/>
      <w:r w:rsidR="000B63C7" w:rsidRPr="000B63C7">
        <w:t>estimands</w:t>
      </w:r>
      <w:proofErr w:type="spellEnd"/>
      <w:r w:rsidR="000B63C7" w:rsidRPr="000B63C7">
        <w:t xml:space="preserve">. </w:t>
      </w:r>
    </w:p>
    <w:p w14:paraId="61F72720" w14:textId="77777777" w:rsidR="000B63C7" w:rsidRDefault="000B63C7" w:rsidP="00704508">
      <w:r w:rsidRPr="001275EC">
        <w:t>https://www.gov.uk/government/publications/mhra-guidance-on-the-use-of-real-world-data-in-clinical-studies-to-support-regulatory-decisions</w:t>
      </w:r>
      <w:r>
        <w:t xml:space="preserve"> </w:t>
      </w:r>
    </w:p>
    <w:p w14:paraId="42EEDB24" w14:textId="06DCDC2C" w:rsidR="000B63C7" w:rsidRDefault="000B63C7" w:rsidP="00704508">
      <w:r w:rsidRPr="000B63C7">
        <w:t>The MHRA ambition is to start on a guideline for external controls, but this will not be published imminently.</w:t>
      </w:r>
    </w:p>
    <w:p w14:paraId="3376A464" w14:textId="105CCB6D" w:rsidR="00922315" w:rsidRDefault="00E30127" w:rsidP="00704508">
      <w:r>
        <w:t>New guidelines might also be created where ther</w:t>
      </w:r>
      <w:r w:rsidR="00AB24D3">
        <w:t xml:space="preserve">e </w:t>
      </w:r>
      <w:r w:rsidR="001B5285">
        <w:t>is</w:t>
      </w:r>
      <w:r w:rsidR="00AB24D3">
        <w:t xml:space="preserve"> divergence </w:t>
      </w:r>
      <w:r w:rsidR="001B5285">
        <w:t>in advice compared to the EMA, for example M</w:t>
      </w:r>
      <w:r w:rsidR="00AB24D3">
        <w:t xml:space="preserve">HRA </w:t>
      </w:r>
      <w:r w:rsidR="001B5285">
        <w:t xml:space="preserve">has released a </w:t>
      </w:r>
      <w:r w:rsidR="00AB24D3">
        <w:t xml:space="preserve">guideline on licensing of biosimilars where MHRA’s guideline </w:t>
      </w:r>
      <w:r w:rsidR="008A68BF">
        <w:t xml:space="preserve">indicates that </w:t>
      </w:r>
      <w:r w:rsidR="008E085A">
        <w:t>there is no</w:t>
      </w:r>
      <w:r w:rsidR="008A68BF">
        <w:t>t</w:t>
      </w:r>
      <w:r w:rsidR="008E085A">
        <w:t xml:space="preserve"> always the need to have a comparative </w:t>
      </w:r>
      <w:r w:rsidR="00997CE8">
        <w:t xml:space="preserve">efficacy </w:t>
      </w:r>
      <w:r w:rsidR="008E085A">
        <w:t>trial</w:t>
      </w:r>
      <w:r w:rsidR="001B5285">
        <w:t xml:space="preserve"> for approval</w:t>
      </w:r>
      <w:r w:rsidR="008A68BF">
        <w:t>.</w:t>
      </w:r>
      <w:r w:rsidR="004A1497">
        <w:t xml:space="preserve"> </w:t>
      </w:r>
      <w:r w:rsidR="004846E5">
        <w:t xml:space="preserve"> </w:t>
      </w:r>
    </w:p>
    <w:p w14:paraId="51039BB4" w14:textId="77777777" w:rsidR="0037528A" w:rsidRDefault="004846E5" w:rsidP="00704508">
      <w:r>
        <w:t xml:space="preserve">There has been some divergence </w:t>
      </w:r>
      <w:r w:rsidR="001B5285">
        <w:t xml:space="preserve">between MHRA and </w:t>
      </w:r>
      <w:r>
        <w:t xml:space="preserve">the EMA in </w:t>
      </w:r>
      <w:r w:rsidR="00065CED">
        <w:t>opinions for some applications</w:t>
      </w:r>
      <w:r>
        <w:t xml:space="preserve"> (</w:t>
      </w:r>
      <w:r w:rsidR="00065CED">
        <w:t xml:space="preserve">this is not a </w:t>
      </w:r>
      <w:r w:rsidR="000C2D54">
        <w:t xml:space="preserve">surprise or a divergence from guidance as </w:t>
      </w:r>
      <w:r>
        <w:t xml:space="preserve">the votes from the national authorities </w:t>
      </w:r>
      <w:r w:rsidR="000C2D54">
        <w:t xml:space="preserve">at CHMP </w:t>
      </w:r>
      <w:r>
        <w:t xml:space="preserve">are often </w:t>
      </w:r>
      <w:r w:rsidR="000C2D54">
        <w:t>not unanimous</w:t>
      </w:r>
      <w:r>
        <w:t xml:space="preserve">).  One statistical aspect that </w:t>
      </w:r>
      <w:r w:rsidR="000C2D54">
        <w:t>may sometimes</w:t>
      </w:r>
      <w:r>
        <w:t xml:space="preserve"> see a divergence in approach is in the insistence on Type I error control</w:t>
      </w:r>
      <w:r w:rsidR="0085304A">
        <w:t xml:space="preserve"> where available regulatory guidance can be interpreted differently</w:t>
      </w:r>
      <w:r>
        <w:t>.</w:t>
      </w:r>
    </w:p>
    <w:p w14:paraId="686F7B00" w14:textId="294E427E" w:rsidR="004846E5" w:rsidRDefault="0037528A" w:rsidP="00704508">
      <w:r>
        <w:rPr>
          <w:b/>
          <w:bCs/>
        </w:rPr>
        <w:t>Data Analytics Centre</w:t>
      </w:r>
      <w:r w:rsidR="008A68BF">
        <w:t xml:space="preserve">  </w:t>
      </w:r>
    </w:p>
    <w:p w14:paraId="1D80B754" w14:textId="7A0D02AD" w:rsidR="004846E5" w:rsidRDefault="004846E5" w:rsidP="00704508">
      <w:r>
        <w:t xml:space="preserve">The MHRA are not planning to set up a data </w:t>
      </w:r>
      <w:r w:rsidR="009F4835">
        <w:t xml:space="preserve">analytics </w:t>
      </w:r>
      <w:r>
        <w:t xml:space="preserve">centre </w:t>
      </w:r>
      <w:proofErr w:type="gramStart"/>
      <w:r>
        <w:t>similar to</w:t>
      </w:r>
      <w:proofErr w:type="gramEnd"/>
      <w:r>
        <w:t xml:space="preserve"> the one set up by the Danish</w:t>
      </w:r>
      <w:r w:rsidR="002C5E80">
        <w:t xml:space="preserve"> Medicines Agency</w:t>
      </w:r>
      <w:r w:rsidR="009F4835">
        <w:t>, a</w:t>
      </w:r>
      <w:r>
        <w:t>lthough they do have the ability to perform analyses</w:t>
      </w:r>
      <w:r w:rsidR="009F4835">
        <w:t xml:space="preserve"> of data</w:t>
      </w:r>
      <w:r>
        <w:t>.</w:t>
      </w:r>
    </w:p>
    <w:p w14:paraId="1D76C6C5" w14:textId="5DE1BF80" w:rsidR="0037528A" w:rsidRPr="00EF18D7" w:rsidRDefault="00EF18D7" w:rsidP="009C409A">
      <w:pPr>
        <w:rPr>
          <w:b/>
          <w:bCs/>
        </w:rPr>
      </w:pPr>
      <w:r w:rsidRPr="00EF18D7">
        <w:rPr>
          <w:b/>
          <w:bCs/>
        </w:rPr>
        <w:t>SIG on Patient Related Outcomes</w:t>
      </w:r>
    </w:p>
    <w:p w14:paraId="31C56CC0" w14:textId="3A59AE0C" w:rsidR="00F565B4" w:rsidRDefault="004846E5" w:rsidP="009C409A">
      <w:r>
        <w:t xml:space="preserve">A special interest </w:t>
      </w:r>
      <w:r w:rsidR="006A1147">
        <w:t>group has been set up</w:t>
      </w:r>
      <w:r w:rsidR="008A68BF">
        <w:t xml:space="preserve"> to work on </w:t>
      </w:r>
      <w:r w:rsidR="00AF2955">
        <w:t xml:space="preserve">and promote </w:t>
      </w:r>
      <w:r w:rsidR="008A68BF">
        <w:t>Patient Reported Outcomes (PROs)</w:t>
      </w:r>
      <w:r w:rsidR="006A1147">
        <w:t>.  T</w:t>
      </w:r>
      <w:r w:rsidR="00F54E76">
        <w:t xml:space="preserve">hey aim to meet with patient interest groups to work on the </w:t>
      </w:r>
      <w:proofErr w:type="spellStart"/>
      <w:r w:rsidR="00F54E76">
        <w:t>PROs</w:t>
      </w:r>
      <w:r w:rsidR="006A1147">
        <w:t>.</w:t>
      </w:r>
      <w:proofErr w:type="spellEnd"/>
      <w:r w:rsidR="006A1147">
        <w:t xml:space="preserve"> </w:t>
      </w:r>
    </w:p>
    <w:p w14:paraId="18DB3285" w14:textId="1BD807C4" w:rsidR="00EF18D7" w:rsidRPr="00EF18D7" w:rsidRDefault="00EF18D7" w:rsidP="009C409A">
      <w:pPr>
        <w:rPr>
          <w:rFonts w:eastAsia="Arial" w:cstheme="minorHAnsi"/>
          <w:b/>
          <w:bCs/>
          <w:color w:val="0B0C0C"/>
        </w:rPr>
      </w:pPr>
      <w:r>
        <w:rPr>
          <w:rFonts w:eastAsia="Arial" w:cstheme="minorHAnsi"/>
          <w:b/>
          <w:bCs/>
          <w:color w:val="0B0C0C"/>
        </w:rPr>
        <w:t>New CTA Approval Process for CTIMPs</w:t>
      </w:r>
    </w:p>
    <w:p w14:paraId="0859A697" w14:textId="387C6FD6" w:rsidR="00D62E6C" w:rsidRDefault="009C409A" w:rsidP="009C409A">
      <w:pPr>
        <w:rPr>
          <w:rFonts w:ascii="Arial" w:eastAsia="Arial" w:hAnsi="Arial" w:cs="Arial"/>
          <w:color w:val="0B0C0C"/>
          <w:sz w:val="20"/>
        </w:rPr>
      </w:pPr>
      <w:r w:rsidRPr="00AA04C0">
        <w:rPr>
          <w:rFonts w:eastAsia="Arial" w:cstheme="minorHAnsi"/>
          <w:color w:val="0B0C0C"/>
        </w:rPr>
        <w:t xml:space="preserve">From 1 January 2022, all Clinical Trials of Investigational Medicinal Products (CTIMPs) in the UK will benefit from a more streamlined and efficient CTA approval process, </w:t>
      </w:r>
      <w:r w:rsidRPr="00AA04C0">
        <w:rPr>
          <w:rFonts w:eastAsia="Arial" w:cstheme="minorHAnsi"/>
          <w:i/>
          <w:iCs/>
          <w:color w:val="0B0C0C"/>
        </w:rPr>
        <w:t>via</w:t>
      </w:r>
      <w:r w:rsidRPr="00AA04C0">
        <w:rPr>
          <w:rFonts w:eastAsia="Arial" w:cstheme="minorHAnsi"/>
          <w:color w:val="0B0C0C"/>
        </w:rPr>
        <w:t xml:space="preserve"> a new service that combines regulatory and research ethics committee review. </w:t>
      </w:r>
      <w:r w:rsidR="005F2EC6" w:rsidRPr="001275EC">
        <w:rPr>
          <w:rFonts w:cstheme="minorHAnsi"/>
        </w:rPr>
        <w:t xml:space="preserve">See the link here for more information - </w:t>
      </w:r>
      <w:hyperlink r:id="rId12">
        <w:r w:rsidR="00D62E6C" w:rsidRPr="330AC850">
          <w:rPr>
            <w:rStyle w:val="Hyperlink"/>
            <w:rFonts w:ascii="Arial" w:eastAsia="Arial" w:hAnsi="Arial" w:cs="Arial"/>
            <w:sz w:val="20"/>
          </w:rPr>
          <w:t>Health Research Authority</w:t>
        </w:r>
      </w:hyperlink>
    </w:p>
    <w:p w14:paraId="4CAFD931" w14:textId="2BBEF06F" w:rsidR="00EF18D7" w:rsidRDefault="00EF18D7" w:rsidP="00704508">
      <w:r>
        <w:rPr>
          <w:b/>
          <w:bCs/>
        </w:rPr>
        <w:t>Medical Devices</w:t>
      </w:r>
      <w:r w:rsidR="006A1147">
        <w:t xml:space="preserve"> </w:t>
      </w:r>
    </w:p>
    <w:p w14:paraId="329FF1AE" w14:textId="26CF29F6" w:rsidR="004A1497" w:rsidRPr="004A1497" w:rsidRDefault="00D80252" w:rsidP="00704508">
      <w:r>
        <w:t>MHRA statisticians</w:t>
      </w:r>
      <w:r w:rsidR="00F54E76">
        <w:t xml:space="preserve"> have a lot of involvement with Medical Device</w:t>
      </w:r>
      <w:r w:rsidR="00EF18D7">
        <w:t xml:space="preserve"> </w:t>
      </w:r>
      <w:proofErr w:type="gramStart"/>
      <w:r w:rsidR="00EF18D7">
        <w:t>trial</w:t>
      </w:r>
      <w:r w:rsidR="004F1D6C">
        <w:t>s</w:t>
      </w:r>
      <w:proofErr w:type="gramEnd"/>
      <w:r w:rsidR="00F54E76">
        <w:t xml:space="preserve"> </w:t>
      </w:r>
      <w:r w:rsidR="004F1D6C">
        <w:t>and it was noted</w:t>
      </w:r>
      <w:r w:rsidR="00F54E76">
        <w:t xml:space="preserve"> that EFSPI doesn’t </w:t>
      </w:r>
      <w:r>
        <w:t>includ</w:t>
      </w:r>
      <w:r w:rsidR="00F54E76">
        <w:t>e many stat</w:t>
      </w:r>
      <w:r>
        <w:t>i</w:t>
      </w:r>
      <w:r w:rsidR="00F54E76">
        <w:t>st</w:t>
      </w:r>
      <w:r>
        <w:t>i</w:t>
      </w:r>
      <w:r w:rsidR="00F54E76">
        <w:t>c</w:t>
      </w:r>
      <w:r>
        <w:t>i</w:t>
      </w:r>
      <w:r w:rsidR="00F54E76">
        <w:t>ans working in this area.</w:t>
      </w:r>
      <w:r w:rsidR="004846E5">
        <w:t xml:space="preserve"> </w:t>
      </w:r>
      <w:r w:rsidR="006A7E0C">
        <w:t xml:space="preserve"> Consultation is open on the future regulation of devices and how to move forwards.  The MHRA </w:t>
      </w:r>
      <w:r w:rsidR="006F6062">
        <w:t>have also produced</w:t>
      </w:r>
      <w:r w:rsidR="006A7E0C">
        <w:t xml:space="preserve"> statistical guidance for trials for medical devices</w:t>
      </w:r>
      <w:r w:rsidR="00BC29CE">
        <w:t xml:space="preserve"> (see</w:t>
      </w:r>
      <w:r w:rsidR="001A348B">
        <w:t xml:space="preserve"> </w:t>
      </w:r>
      <w:r w:rsidR="00BC29CE" w:rsidRPr="00BC29CE">
        <w:t>https://assets.publishing.service.gov.uk/government/uploads/system/uploads/attachment_data/file/989415/Statistical_considerations_clinical_investigations_-_May_2021.pdf</w:t>
      </w:r>
      <w:r w:rsidR="00BC29CE">
        <w:t>)</w:t>
      </w:r>
      <w:r w:rsidR="006A7E0C">
        <w:t>.</w:t>
      </w:r>
    </w:p>
    <w:p w14:paraId="58BDE7FC" w14:textId="29A661FD" w:rsidR="006A7C48" w:rsidRDefault="00AE20CD" w:rsidP="00704508">
      <w:pPr>
        <w:rPr>
          <w:b/>
          <w:bCs/>
        </w:rPr>
      </w:pPr>
      <w:r w:rsidRPr="00AE20CD">
        <w:rPr>
          <w:b/>
          <w:bCs/>
        </w:rPr>
        <w:t>Decentralised Clinical Trials</w:t>
      </w:r>
    </w:p>
    <w:p w14:paraId="6D47D345" w14:textId="56B2D1D7" w:rsidR="00730375" w:rsidRDefault="00AE20CD" w:rsidP="00704508">
      <w:r>
        <w:t xml:space="preserve">The MHRA </w:t>
      </w:r>
      <w:r w:rsidR="00B54639">
        <w:t xml:space="preserve">statistics group </w:t>
      </w:r>
      <w:r>
        <w:t>have not been keeping track of the number of decentralised trials being carried out.  The</w:t>
      </w:r>
      <w:r w:rsidR="006A22C4">
        <w:t>re is</w:t>
      </w:r>
      <w:r>
        <w:t xml:space="preserve"> guidance allowing flexibility to be built into trials</w:t>
      </w:r>
      <w:r w:rsidR="00D80252">
        <w:t>.</w:t>
      </w:r>
      <w:r>
        <w:t xml:space="preserve">  Processes such as </w:t>
      </w:r>
      <w:proofErr w:type="spellStart"/>
      <w:r>
        <w:t>eConsent</w:t>
      </w:r>
      <w:proofErr w:type="spellEnd"/>
      <w:r w:rsidR="009536DB">
        <w:t xml:space="preserve">, </w:t>
      </w:r>
      <w:proofErr w:type="spellStart"/>
      <w:r w:rsidR="009536DB">
        <w:t>eMonitoring</w:t>
      </w:r>
      <w:proofErr w:type="spellEnd"/>
      <w:r w:rsidR="009536DB">
        <w:t xml:space="preserve"> and risk</w:t>
      </w:r>
      <w:r w:rsidR="00896099">
        <w:t>-</w:t>
      </w:r>
      <w:r w:rsidR="009536DB">
        <w:t>based monitoring</w:t>
      </w:r>
      <w:r>
        <w:t xml:space="preserve"> facilitate this.  This was already in place </w:t>
      </w:r>
      <w:r w:rsidR="00D80252">
        <w:t xml:space="preserve">before </w:t>
      </w:r>
      <w:r w:rsidR="001A348B">
        <w:t xml:space="preserve">the </w:t>
      </w:r>
      <w:r w:rsidR="00D80252">
        <w:t>COVID</w:t>
      </w:r>
      <w:r w:rsidR="00944A42">
        <w:t xml:space="preserve">-19 </w:t>
      </w:r>
      <w:r w:rsidR="00944A42">
        <w:lastRenderedPageBreak/>
        <w:t>pandemic</w:t>
      </w:r>
      <w:r w:rsidR="00D80252">
        <w:t xml:space="preserve"> </w:t>
      </w:r>
      <w:r>
        <w:t xml:space="preserve">but has been adopted </w:t>
      </w:r>
      <w:r w:rsidR="00DC2082">
        <w:t>further</w:t>
      </w:r>
      <w:r w:rsidR="00D80252">
        <w:t xml:space="preserve"> at this time</w:t>
      </w:r>
      <w:r w:rsidR="00DC2082">
        <w:t xml:space="preserve">.  </w:t>
      </w:r>
      <w:r w:rsidR="00D80252">
        <w:t>Increased a</w:t>
      </w:r>
      <w:r w:rsidR="00DC2082">
        <w:t xml:space="preserve">doption of </w:t>
      </w:r>
      <w:r w:rsidR="009536DB">
        <w:t>decentrali</w:t>
      </w:r>
      <w:r w:rsidR="002F1440">
        <w:t>s</w:t>
      </w:r>
      <w:r w:rsidR="009536DB">
        <w:t xml:space="preserve">ed concepts </w:t>
      </w:r>
      <w:r w:rsidR="00DC2082">
        <w:t xml:space="preserve">may </w:t>
      </w:r>
      <w:r w:rsidR="009F4835">
        <w:t xml:space="preserve">lead to </w:t>
      </w:r>
      <w:r w:rsidR="004432AE">
        <w:t xml:space="preserve">a </w:t>
      </w:r>
      <w:r w:rsidR="009F4835">
        <w:t>broader</w:t>
      </w:r>
      <w:r w:rsidR="00DC2082">
        <w:t xml:space="preserve"> </w:t>
      </w:r>
      <w:r w:rsidR="004432AE">
        <w:t xml:space="preserve">patient population </w:t>
      </w:r>
      <w:r w:rsidR="00DC2082">
        <w:t>participati</w:t>
      </w:r>
      <w:r w:rsidR="004432AE">
        <w:t>ng</w:t>
      </w:r>
      <w:r w:rsidR="00DC2082">
        <w:t xml:space="preserve"> in trials for certain disease areas such as Alzheimer’s</w:t>
      </w:r>
      <w:r w:rsidR="00730375">
        <w:t xml:space="preserve"> and Parkinson’s</w:t>
      </w:r>
      <w:r w:rsidR="00DC2082">
        <w:t xml:space="preserve">.  The requirement for data integrity and quality is still important </w:t>
      </w:r>
      <w:r w:rsidR="00B5205F">
        <w:t xml:space="preserve">in decentralised trials.  It is particularly important that there is consistency in </w:t>
      </w:r>
      <w:r w:rsidR="00D80252">
        <w:t>evaluation</w:t>
      </w:r>
      <w:r w:rsidR="00DC292C">
        <w:t xml:space="preserve"> of outcomes </w:t>
      </w:r>
      <w:r w:rsidR="00D80252">
        <w:t xml:space="preserve">carried out at </w:t>
      </w:r>
      <w:r w:rsidR="002971EE">
        <w:t xml:space="preserve">the </w:t>
      </w:r>
      <w:r w:rsidR="001E596D">
        <w:t xml:space="preserve">study site and those </w:t>
      </w:r>
      <w:r w:rsidR="00E05D48">
        <w:t>performed remotely.</w:t>
      </w:r>
      <w:r w:rsidR="001A7F18">
        <w:t xml:space="preserve"> </w:t>
      </w:r>
      <w:r w:rsidR="00FD4818">
        <w:t>Therefore</w:t>
      </w:r>
      <w:r w:rsidR="002971EE">
        <w:t>,</w:t>
      </w:r>
      <w:r w:rsidR="00FD4818">
        <w:t xml:space="preserve"> consideration</w:t>
      </w:r>
      <w:r w:rsidR="004D354E">
        <w:t xml:space="preserve"> should be given to how remote data can be validated.</w:t>
      </w:r>
      <w:r w:rsidR="00B5205F">
        <w:t xml:space="preserve">  The guidance on remote access to medical records</w:t>
      </w:r>
      <w:r w:rsidR="005E6A8C">
        <w:t xml:space="preserve"> has relevant advice as linkage to the medical records of patients in the clinical trials is one way to implement decentralisation and to augment on-site assessments with those electronic records</w:t>
      </w:r>
      <w:r w:rsidR="00B5205F">
        <w:t>.</w:t>
      </w:r>
      <w:r w:rsidR="00DC2082">
        <w:t xml:space="preserve"> </w:t>
      </w:r>
      <w:r w:rsidR="005E6A8C" w:rsidRPr="005E6A8C">
        <w:t>Decentralising assessments in clinical trials may not be appropriate for all therapeutic areas and outcomes, and sponsors need to justify why this approach is preferred relative to on-site assessments</w:t>
      </w:r>
      <w:r w:rsidR="00AE6097">
        <w:t xml:space="preserve">. </w:t>
      </w:r>
      <w:bookmarkStart w:id="0" w:name="_Hlk90656804"/>
      <w:r w:rsidR="005E6A8C">
        <w:t>Pa</w:t>
      </w:r>
      <w:r w:rsidR="00B5205F">
        <w:t>tient safety is paramount</w:t>
      </w:r>
      <w:r w:rsidR="009F4835">
        <w:t>, b</w:t>
      </w:r>
      <w:r w:rsidR="00D80252">
        <w:t xml:space="preserve">ut this approach </w:t>
      </w:r>
      <w:bookmarkEnd w:id="0"/>
      <w:r w:rsidR="00D80252">
        <w:t>c</w:t>
      </w:r>
      <w:r w:rsidR="00B5205F">
        <w:t xml:space="preserve">an </w:t>
      </w:r>
      <w:r w:rsidR="00D80252">
        <w:t>provide an</w:t>
      </w:r>
      <w:r w:rsidR="00B5205F">
        <w:t xml:space="preserve"> advantage </w:t>
      </w:r>
      <w:r w:rsidR="002F1440">
        <w:t xml:space="preserve">by facilitating </w:t>
      </w:r>
      <w:r w:rsidR="00B5205F">
        <w:t>greater representation.</w:t>
      </w:r>
      <w:r w:rsidR="00730375" w:rsidRPr="00730375">
        <w:t xml:space="preserve"> </w:t>
      </w:r>
    </w:p>
    <w:p w14:paraId="4220028A" w14:textId="572F5107" w:rsidR="00730375" w:rsidRDefault="00730375" w:rsidP="00704508">
      <w:r w:rsidRPr="00730375">
        <w:t>The</w:t>
      </w:r>
      <w:r>
        <w:t xml:space="preserve"> following links were shared:</w:t>
      </w:r>
      <w:r w:rsidRPr="00730375">
        <w:t xml:space="preserve"> </w:t>
      </w:r>
    </w:p>
    <w:p w14:paraId="0C77E611" w14:textId="399740C1" w:rsidR="00730375" w:rsidRPr="000F6C44" w:rsidRDefault="001D2442" w:rsidP="00730375">
      <w:pPr>
        <w:pStyle w:val="CommentText"/>
        <w:rPr>
          <w:sz w:val="22"/>
          <w:szCs w:val="22"/>
        </w:rPr>
      </w:pPr>
      <w:hyperlink r:id="rId13" w:history="1">
        <w:r w:rsidR="00730375" w:rsidRPr="000F6C44">
          <w:rPr>
            <w:rStyle w:val="Hyperlink"/>
            <w:sz w:val="22"/>
            <w:szCs w:val="22"/>
          </w:rPr>
          <w:t>https://sites.google.com/nihr.ac.uk/remotetrialdelivery/home/remote-trial-delivery-preliminary-guidance-from-the-nihr-remote-trial-deli</w:t>
        </w:r>
      </w:hyperlink>
    </w:p>
    <w:p w14:paraId="6EC1CE40" w14:textId="77777777" w:rsidR="00730375" w:rsidRPr="000F6C44" w:rsidRDefault="001D2442" w:rsidP="00730375">
      <w:pPr>
        <w:pStyle w:val="CommentText"/>
        <w:rPr>
          <w:sz w:val="22"/>
          <w:szCs w:val="22"/>
        </w:rPr>
      </w:pPr>
      <w:hyperlink r:id="rId14" w:history="1">
        <w:r w:rsidR="00730375" w:rsidRPr="000F6C44">
          <w:rPr>
            <w:rStyle w:val="Hyperlink"/>
            <w:sz w:val="22"/>
            <w:szCs w:val="22"/>
          </w:rPr>
          <w:t>Access to Electronic Health Records by Sponsor representatives in clinical trials - GOV.UK (www.gov.uk)</w:t>
        </w:r>
      </w:hyperlink>
    </w:p>
    <w:p w14:paraId="1C12504F" w14:textId="77777777" w:rsidR="00730375" w:rsidRPr="000F6C44" w:rsidRDefault="001D2442" w:rsidP="00730375">
      <w:pPr>
        <w:pStyle w:val="CommentText"/>
        <w:rPr>
          <w:sz w:val="22"/>
          <w:szCs w:val="22"/>
        </w:rPr>
      </w:pPr>
      <w:hyperlink r:id="rId15" w:history="1">
        <w:r w:rsidR="00730375" w:rsidRPr="000F6C44">
          <w:rPr>
            <w:rStyle w:val="Hyperlink"/>
            <w:sz w:val="22"/>
            <w:szCs w:val="22"/>
          </w:rPr>
          <w:t>ACRO-QbD-Manual-FINAL-for-WEBSITE-UPLOAD-1.pdf (acrohealth.org)</w:t>
        </w:r>
      </w:hyperlink>
    </w:p>
    <w:p w14:paraId="116D1783" w14:textId="75D54FBC" w:rsidR="00D873F3" w:rsidRDefault="00B5205F" w:rsidP="00704508">
      <w:r>
        <w:rPr>
          <w:b/>
          <w:bCs/>
        </w:rPr>
        <w:t>Use of External Controls</w:t>
      </w:r>
      <w:r w:rsidR="001A7F18">
        <w:rPr>
          <w:b/>
          <w:bCs/>
        </w:rPr>
        <w:br/>
      </w:r>
      <w:r>
        <w:t xml:space="preserve">The next guideline to be developed </w:t>
      </w:r>
      <w:r w:rsidR="008D54D9">
        <w:t>i</w:t>
      </w:r>
      <w:r>
        <w:t>n</w:t>
      </w:r>
      <w:r w:rsidR="00FB1A9A">
        <w:t xml:space="preserve"> the</w:t>
      </w:r>
      <w:r>
        <w:t xml:space="preserve"> </w:t>
      </w:r>
      <w:proofErr w:type="gramStart"/>
      <w:r>
        <w:t>Real World</w:t>
      </w:r>
      <w:proofErr w:type="gramEnd"/>
      <w:r>
        <w:t xml:space="preserve"> Data</w:t>
      </w:r>
      <w:r w:rsidR="00FB1A9A">
        <w:t xml:space="preserve"> series will focus on comparisons with external controls</w:t>
      </w:r>
      <w:r>
        <w:t xml:space="preserve">.  </w:t>
      </w:r>
      <w:r w:rsidR="006B7A86">
        <w:t xml:space="preserve">Thinking is still evolving in this area and </w:t>
      </w:r>
      <w:r w:rsidR="00CC0FD5">
        <w:t xml:space="preserve">the guidance is likely to provide points to consider rather than </w:t>
      </w:r>
      <w:r w:rsidR="00545D76">
        <w:t xml:space="preserve">definitive solutions, which would not be possible to generate. </w:t>
      </w:r>
    </w:p>
    <w:p w14:paraId="13395984" w14:textId="2CD92F8F" w:rsidR="00711BE6" w:rsidRDefault="00545D76" w:rsidP="00704508">
      <w:r>
        <w:t xml:space="preserve">Some general </w:t>
      </w:r>
      <w:r w:rsidR="00030659">
        <w:t>thoughts were discussed</w:t>
      </w:r>
      <w:r w:rsidR="00D873F3">
        <w:t xml:space="preserve"> on the use of external controls (not specific to RWD)</w:t>
      </w:r>
      <w:r w:rsidR="001D4DCF">
        <w:t>, some of which are summarised below,</w:t>
      </w:r>
      <w:r w:rsidR="00030659">
        <w:t xml:space="preserve"> but no</w:t>
      </w:r>
      <w:r w:rsidR="001D4DCF">
        <w:t>ne of this</w:t>
      </w:r>
      <w:r w:rsidR="00C545AC">
        <w:t xml:space="preserve"> </w:t>
      </w:r>
      <w:r w:rsidR="001D4DCF">
        <w:t>sh</w:t>
      </w:r>
      <w:r w:rsidR="00735C0E">
        <w:t>ould be taken as a</w:t>
      </w:r>
      <w:r w:rsidR="001D4DCF">
        <w:t xml:space="preserve"> formal</w:t>
      </w:r>
      <w:r w:rsidR="006D0EEA">
        <w:t xml:space="preserve"> </w:t>
      </w:r>
      <w:r w:rsidR="00735C0E">
        <w:t xml:space="preserve">MHRA position. </w:t>
      </w:r>
    </w:p>
    <w:p w14:paraId="3B47A5FB" w14:textId="7B64440C" w:rsidR="006F1190" w:rsidRDefault="00B5205F" w:rsidP="00704508">
      <w:r>
        <w:t>Randomisation is always preferred</w:t>
      </w:r>
      <w:r w:rsidR="00D80252">
        <w:t xml:space="preserve"> in clinical trials</w:t>
      </w:r>
      <w:r w:rsidR="004B7887">
        <w:t xml:space="preserve"> but if this is not possible then the </w:t>
      </w:r>
      <w:r w:rsidR="00985D65">
        <w:t xml:space="preserve">baseline characteristics and background </w:t>
      </w:r>
      <w:r w:rsidR="004574AB">
        <w:t xml:space="preserve">care </w:t>
      </w:r>
      <w:r w:rsidR="009E2305">
        <w:t>should be as similar as possible</w:t>
      </w:r>
      <w:r w:rsidR="004574AB">
        <w:t xml:space="preserve"> in the treatments being compared</w:t>
      </w:r>
      <w:r>
        <w:t xml:space="preserve">. If the control data are already available, it </w:t>
      </w:r>
      <w:r w:rsidR="0083758E">
        <w:t xml:space="preserve">might be </w:t>
      </w:r>
      <w:r>
        <w:t xml:space="preserve">possible to run a trial with a single arm </w:t>
      </w:r>
      <w:r w:rsidR="00D80252">
        <w:t xml:space="preserve">that </w:t>
      </w:r>
      <w:r>
        <w:t>includ</w:t>
      </w:r>
      <w:r w:rsidR="00D80252">
        <w:t>es</w:t>
      </w:r>
      <w:r>
        <w:t xml:space="preserve"> a threshold for success.  If the two arms are running at the same time</w:t>
      </w:r>
      <w:r w:rsidR="004565AA">
        <w:t xml:space="preserve"> or the control data </w:t>
      </w:r>
      <w:r w:rsidR="0098314C">
        <w:t>are</w:t>
      </w:r>
      <w:r w:rsidR="004565AA">
        <w:t xml:space="preserve"> being collected</w:t>
      </w:r>
      <w:r w:rsidR="002359AB">
        <w:t xml:space="preserve"> after the trial has ended</w:t>
      </w:r>
      <w:r w:rsidR="00D80252">
        <w:t>,</w:t>
      </w:r>
      <w:r>
        <w:t xml:space="preserve"> then </w:t>
      </w:r>
      <w:r w:rsidR="00D868E2">
        <w:t>matching on important characteristics should be attempted</w:t>
      </w:r>
      <w:r w:rsidR="00FD7802">
        <w:t>. Depending on the situation,</w:t>
      </w:r>
      <w:r w:rsidR="004A00A6">
        <w:t xml:space="preserve"> propensity scores </w:t>
      </w:r>
      <w:r w:rsidR="00FD7802">
        <w:t>might be useful</w:t>
      </w:r>
      <w:r>
        <w:t>.</w:t>
      </w:r>
      <w:r w:rsidR="00E97BED">
        <w:t xml:space="preserve"> Ideally</w:t>
      </w:r>
      <w:r w:rsidR="00187930">
        <w:t>, factors used for matching should be identified a priori</w:t>
      </w:r>
      <w:r w:rsidR="005A511B">
        <w:t>.  Sensitivity analyses using different</w:t>
      </w:r>
      <w:r w:rsidR="00FC654F">
        <w:t xml:space="preserve"> methods for matching are recommended. </w:t>
      </w:r>
      <w:r w:rsidR="00F67E63">
        <w:t xml:space="preserve"> Black box approaches producing p-values are not necessarily helpful</w:t>
      </w:r>
      <w:r w:rsidR="00D60A87">
        <w:t xml:space="preserve">. </w:t>
      </w:r>
      <w:r w:rsidR="00BF29D5">
        <w:t>If Bayesian approaches are used it is important to avoid double counting when considering the overall body of evidence.</w:t>
      </w:r>
    </w:p>
    <w:p w14:paraId="797C3FE3" w14:textId="204B68CB" w:rsidR="004A00A6" w:rsidRDefault="0083758E" w:rsidP="00704508">
      <w:r>
        <w:t>If the strategy is to combine a small control arm with an external control arm</w:t>
      </w:r>
      <w:r w:rsidR="002F1440">
        <w:t>,</w:t>
      </w:r>
      <w:r>
        <w:t xml:space="preserve"> there</w:t>
      </w:r>
      <w:r w:rsidR="00AE6097">
        <w:t xml:space="preserve"> </w:t>
      </w:r>
      <w:r>
        <w:t xml:space="preserve">are </w:t>
      </w:r>
      <w:r w:rsidR="00AE6097">
        <w:t>open questions that need to be thought through</w:t>
      </w:r>
      <w:r w:rsidR="004C1769">
        <w:t xml:space="preserve">. For </w:t>
      </w:r>
      <w:r w:rsidR="00AE6097">
        <w:t>example</w:t>
      </w:r>
      <w:r w:rsidR="00B9735B">
        <w:t>,</w:t>
      </w:r>
      <w:r w:rsidR="00D80252">
        <w:t xml:space="preserve"> h</w:t>
      </w:r>
      <w:r w:rsidR="004A00A6">
        <w:t>ow different</w:t>
      </w:r>
      <w:r w:rsidR="00D80252">
        <w:t xml:space="preserve"> </w:t>
      </w:r>
      <w:r>
        <w:t xml:space="preserve">can </w:t>
      </w:r>
      <w:r w:rsidR="004A00A6">
        <w:t xml:space="preserve">the external control </w:t>
      </w:r>
      <w:r w:rsidR="00D80252">
        <w:t xml:space="preserve">group </w:t>
      </w:r>
      <w:r>
        <w:t xml:space="preserve">be compared to the randomized control </w:t>
      </w:r>
      <w:r w:rsidR="004A00A6">
        <w:t>before it is discarded</w:t>
      </w:r>
      <w:r w:rsidR="00AE6097">
        <w:t>? What happen</w:t>
      </w:r>
      <w:r w:rsidR="002F1440">
        <w:t>s</w:t>
      </w:r>
      <w:r w:rsidR="00AE6097">
        <w:t xml:space="preserve"> with the Type I error? If the </w:t>
      </w:r>
      <w:r>
        <w:t>control arms are good fits for the primary endpoint, does that also hold for the secondary</w:t>
      </w:r>
      <w:r w:rsidR="002F1440">
        <w:t xml:space="preserve"> endpoints</w:t>
      </w:r>
      <w:r>
        <w:t>?</w:t>
      </w:r>
      <w:r w:rsidR="004A00A6">
        <w:t xml:space="preserve">  </w:t>
      </w:r>
      <w:r w:rsidR="00D80252">
        <w:t>There is a n</w:t>
      </w:r>
      <w:r w:rsidR="004A00A6">
        <w:t xml:space="preserve">eed to ensure that </w:t>
      </w:r>
      <w:r w:rsidR="00D80252">
        <w:t xml:space="preserve">external control data for </w:t>
      </w:r>
      <w:r w:rsidR="004A00A6">
        <w:t xml:space="preserve">secondary endpoints are as balanced as </w:t>
      </w:r>
      <w:r w:rsidR="00D80252">
        <w:t xml:space="preserve">that for </w:t>
      </w:r>
      <w:r w:rsidR="004A00A6">
        <w:t xml:space="preserve">the primary endpoint.  </w:t>
      </w:r>
      <w:r w:rsidR="00794211">
        <w:t>C</w:t>
      </w:r>
      <w:r w:rsidR="004A00A6">
        <w:t>oncern</w:t>
      </w:r>
      <w:r w:rsidR="00794211">
        <w:t xml:space="preserve"> was expressed</w:t>
      </w:r>
      <w:r w:rsidR="004A00A6">
        <w:t xml:space="preserve"> about making decisions </w:t>
      </w:r>
      <w:r w:rsidR="00707B5A">
        <w:t xml:space="preserve">purely </w:t>
      </w:r>
      <w:r w:rsidR="004A00A6">
        <w:t xml:space="preserve">based on </w:t>
      </w:r>
      <w:r w:rsidR="0077263D">
        <w:t xml:space="preserve">statistical inference on </w:t>
      </w:r>
      <w:r w:rsidR="004A00A6">
        <w:t>small datasets in rare diseases</w:t>
      </w:r>
      <w:r w:rsidR="00794211">
        <w:t>;</w:t>
      </w:r>
      <w:r w:rsidR="0077263D">
        <w:t xml:space="preserve"> biological and medical information is needed</w:t>
      </w:r>
      <w:r w:rsidR="004A00A6">
        <w:t>.</w:t>
      </w:r>
    </w:p>
    <w:p w14:paraId="2B9998D8" w14:textId="5B899158" w:rsidR="004A00A6" w:rsidRDefault="004A00A6" w:rsidP="00704508">
      <w:pPr>
        <w:rPr>
          <w:b/>
          <w:bCs/>
        </w:rPr>
      </w:pPr>
      <w:r>
        <w:rPr>
          <w:b/>
          <w:bCs/>
        </w:rPr>
        <w:t>Non-Inferiority Trials</w:t>
      </w:r>
    </w:p>
    <w:p w14:paraId="6E873753" w14:textId="4E9D5C4E" w:rsidR="00604E3C" w:rsidRDefault="004A00A6" w:rsidP="00704508">
      <w:r>
        <w:lastRenderedPageBreak/>
        <w:t xml:space="preserve">In principle, </w:t>
      </w:r>
      <w:r w:rsidR="002C2575">
        <w:t xml:space="preserve">it was felt that </w:t>
      </w:r>
      <w:r>
        <w:t xml:space="preserve">the </w:t>
      </w:r>
      <w:proofErr w:type="spellStart"/>
      <w:r>
        <w:t>estimand</w:t>
      </w:r>
      <w:proofErr w:type="spellEnd"/>
      <w:r>
        <w:t xml:space="preserve"> should not change based on the hypothesis test being employed</w:t>
      </w:r>
      <w:r w:rsidR="0077263D">
        <w:t xml:space="preserve"> (superiority or non-inferiority)</w:t>
      </w:r>
      <w:r>
        <w:t>.</w:t>
      </w:r>
      <w:r w:rsidR="00604E3C">
        <w:t xml:space="preserve">  </w:t>
      </w:r>
      <w:r w:rsidR="0075128F">
        <w:t>However</w:t>
      </w:r>
      <w:r w:rsidR="00C61BBC">
        <w:t>,</w:t>
      </w:r>
      <w:r w:rsidR="0075128F">
        <w:t xml:space="preserve"> in a non-inferiority </w:t>
      </w:r>
      <w:r w:rsidR="00200676">
        <w:t>trial</w:t>
      </w:r>
      <w:r w:rsidR="00AA5A31">
        <w:t xml:space="preserve"> </w:t>
      </w:r>
      <w:r w:rsidR="0075128F">
        <w:t>t</w:t>
      </w:r>
      <w:r w:rsidR="00604E3C">
        <w:t>he</w:t>
      </w:r>
      <w:r w:rsidR="00D80252">
        <w:t>re is</w:t>
      </w:r>
      <w:r w:rsidR="00604E3C">
        <w:t xml:space="preserve"> still </w:t>
      </w:r>
      <w:r w:rsidR="00D80252">
        <w:t xml:space="preserve">a </w:t>
      </w:r>
      <w:r w:rsidR="00604E3C">
        <w:t>ne</w:t>
      </w:r>
      <w:r w:rsidR="00D80252">
        <w:t>cessity</w:t>
      </w:r>
      <w:r w:rsidR="00604E3C">
        <w:t xml:space="preserve"> to ensure that any results </w:t>
      </w:r>
      <w:r w:rsidR="00D80252">
        <w:t xml:space="preserve">that </w:t>
      </w:r>
      <w:r w:rsidR="00604E3C">
        <w:t>indicat</w:t>
      </w:r>
      <w:r w:rsidR="00D80252">
        <w:t>e</w:t>
      </w:r>
      <w:r w:rsidR="00604E3C">
        <w:t xml:space="preserve"> no difference </w:t>
      </w:r>
      <w:r w:rsidR="00D80252">
        <w:t>between the treatment arms are</w:t>
      </w:r>
      <w:r w:rsidR="00604E3C">
        <w:t xml:space="preserve"> not caused by poor trial conduct</w:t>
      </w:r>
      <w:r w:rsidR="0075128F">
        <w:t xml:space="preserve"> – but this can be addressed b</w:t>
      </w:r>
      <w:r w:rsidR="0039407F">
        <w:t xml:space="preserve">y means other than the primary </w:t>
      </w:r>
      <w:proofErr w:type="spellStart"/>
      <w:r w:rsidR="0039407F">
        <w:t>estimand</w:t>
      </w:r>
      <w:proofErr w:type="spellEnd"/>
      <w:r w:rsidR="00604E3C">
        <w:t xml:space="preserve">.  </w:t>
      </w:r>
      <w:r w:rsidR="0039407F">
        <w:t xml:space="preserve">The </w:t>
      </w:r>
      <w:r w:rsidR="00604E3C">
        <w:t xml:space="preserve">UK will join ICH </w:t>
      </w:r>
      <w:r w:rsidR="0027471C">
        <w:t>in development of the guidelines</w:t>
      </w:r>
      <w:r w:rsidR="00604E3C">
        <w:t xml:space="preserve">.  </w:t>
      </w:r>
      <w:r w:rsidR="00A758F1">
        <w:t xml:space="preserve">There has been no suggestion heard by MHRA </w:t>
      </w:r>
      <w:r w:rsidR="00604E3C">
        <w:t xml:space="preserve">that the </w:t>
      </w:r>
      <w:r w:rsidR="0077263D">
        <w:t xml:space="preserve">ICH E9 </w:t>
      </w:r>
      <w:r w:rsidR="00604E3C">
        <w:t>addendum will be revisited to address this topic.</w:t>
      </w:r>
    </w:p>
    <w:p w14:paraId="46447793" w14:textId="1622E7BA" w:rsidR="00604E3C" w:rsidRDefault="00604E3C" w:rsidP="00704508">
      <w:pPr>
        <w:rPr>
          <w:b/>
          <w:bCs/>
        </w:rPr>
      </w:pPr>
      <w:proofErr w:type="spellStart"/>
      <w:r>
        <w:rPr>
          <w:b/>
          <w:bCs/>
        </w:rPr>
        <w:t>Estimands</w:t>
      </w:r>
      <w:proofErr w:type="spellEnd"/>
    </w:p>
    <w:p w14:paraId="16897989" w14:textId="57A4A9CD" w:rsidR="00AC271F" w:rsidRDefault="00604E3C" w:rsidP="00704508">
      <w:r>
        <w:t xml:space="preserve">There has been a mix of experiences in the application of </w:t>
      </w:r>
      <w:proofErr w:type="spellStart"/>
      <w:r>
        <w:t>estimands</w:t>
      </w:r>
      <w:proofErr w:type="spellEnd"/>
      <w:r>
        <w:t xml:space="preserve">.  </w:t>
      </w:r>
      <w:r w:rsidR="00615D77">
        <w:t>More</w:t>
      </w:r>
      <w:r w:rsidR="00A94894">
        <w:t xml:space="preserve"> l</w:t>
      </w:r>
      <w:r>
        <w:t>arge</w:t>
      </w:r>
      <w:r w:rsidR="00A94894">
        <w:t>r</w:t>
      </w:r>
      <w:r>
        <w:t xml:space="preserve"> companies </w:t>
      </w:r>
      <w:r w:rsidR="00615D77">
        <w:t>have been</w:t>
      </w:r>
      <w:r w:rsidR="00886536">
        <w:t xml:space="preserve"> </w:t>
      </w:r>
      <w:r>
        <w:t>includ</w:t>
      </w:r>
      <w:r w:rsidR="00615D77">
        <w:t>ing</w:t>
      </w:r>
      <w:r>
        <w:t xml:space="preserve"> </w:t>
      </w:r>
      <w:proofErr w:type="spellStart"/>
      <w:r>
        <w:t>estimands</w:t>
      </w:r>
      <w:proofErr w:type="spellEnd"/>
      <w:r>
        <w:t xml:space="preserve"> in their protocols along with good discussions of intercurrent events.  Some smaller companies do not understand the concept at all. </w:t>
      </w:r>
      <w:r w:rsidR="00EE6E56">
        <w:t>But there is a mixed response in general, regardless of compan</w:t>
      </w:r>
      <w:r w:rsidR="002971EE">
        <w:t>y</w:t>
      </w:r>
      <w:r w:rsidR="00EE6E56">
        <w:t xml:space="preserve"> size.</w:t>
      </w:r>
      <w:r>
        <w:t xml:space="preserve"> </w:t>
      </w:r>
      <w:r w:rsidR="008D0822">
        <w:t xml:space="preserve">More </w:t>
      </w:r>
      <w:r w:rsidR="000B1667">
        <w:t>sponsor</w:t>
      </w:r>
      <w:r w:rsidR="00FD2E92">
        <w:t>s</w:t>
      </w:r>
      <w:r w:rsidR="000B1667">
        <w:t xml:space="preserve"> </w:t>
      </w:r>
      <w:r w:rsidR="008D0822">
        <w:t>are coming to the MHRA</w:t>
      </w:r>
      <w:r>
        <w:t xml:space="preserve"> </w:t>
      </w:r>
      <w:r w:rsidR="008D0822">
        <w:t>with</w:t>
      </w:r>
      <w:r w:rsidR="0027471C">
        <w:t xml:space="preserve"> protocols that do not include</w:t>
      </w:r>
      <w:r w:rsidR="008D0822">
        <w:t xml:space="preserve"> </w:t>
      </w:r>
      <w:proofErr w:type="spellStart"/>
      <w:r w:rsidR="008D0822">
        <w:t>estimands</w:t>
      </w:r>
      <w:proofErr w:type="spellEnd"/>
      <w:r w:rsidR="008D0822">
        <w:t xml:space="preserve"> than </w:t>
      </w:r>
      <w:r w:rsidR="0027471C">
        <w:t>that do</w:t>
      </w:r>
      <w:r w:rsidR="008D0822">
        <w:t xml:space="preserve">.  There is a long way to go before the concept is fully adopted.  </w:t>
      </w:r>
      <w:r w:rsidR="008F03C0">
        <w:t>MHRA sees examples where there is a mismatch between the</w:t>
      </w:r>
      <w:r w:rsidR="00943A71">
        <w:t xml:space="preserve"> stated </w:t>
      </w:r>
      <w:proofErr w:type="spellStart"/>
      <w:r w:rsidR="008F03C0">
        <w:t>estimand</w:t>
      </w:r>
      <w:proofErr w:type="spellEnd"/>
      <w:r w:rsidR="008F03C0">
        <w:t xml:space="preserve"> and the approach of estimation</w:t>
      </w:r>
      <w:r w:rsidR="00943A71">
        <w:t>, confusion between sensitivity and supportive analyses, and a mix-up between intercurrent events and missing data.</w:t>
      </w:r>
      <w:r w:rsidR="008F03C0">
        <w:t xml:space="preserve"> </w:t>
      </w:r>
      <w:r w:rsidR="00AC271F">
        <w:t xml:space="preserve"> </w:t>
      </w:r>
      <w:r w:rsidR="001D099E">
        <w:t xml:space="preserve">In the specification of </w:t>
      </w:r>
      <w:proofErr w:type="spellStart"/>
      <w:r w:rsidR="001D099E">
        <w:t>estimands</w:t>
      </w:r>
      <w:proofErr w:type="spellEnd"/>
      <w:r w:rsidR="001D099E">
        <w:t xml:space="preserve">, the terminology (the 5 attributes) is not of great concern, more important are the strategies for dealing with intercurrent events. </w:t>
      </w:r>
      <w:r w:rsidR="00F24E65">
        <w:t xml:space="preserve">The MHRA does not impose the use of </w:t>
      </w:r>
      <w:proofErr w:type="spellStart"/>
      <w:r w:rsidR="00F24E65">
        <w:t>estimand</w:t>
      </w:r>
      <w:proofErr w:type="spellEnd"/>
      <w:r w:rsidR="00F24E65">
        <w:t xml:space="preserve"> terminology</w:t>
      </w:r>
      <w:r w:rsidR="009D1C5A">
        <w:t xml:space="preserve"> if the approach to the analysis outlined is clear and acceptable. </w:t>
      </w:r>
      <w:r w:rsidR="001B2347">
        <w:t>But if the approach is not acceptable</w:t>
      </w:r>
      <w:r w:rsidR="0012686F">
        <w:t>, or there is a complex setting involving several intercurrent events,</w:t>
      </w:r>
      <w:r w:rsidR="001B2347">
        <w:t xml:space="preserve"> the </w:t>
      </w:r>
      <w:r w:rsidR="0012686F">
        <w:t xml:space="preserve">use </w:t>
      </w:r>
      <w:r w:rsidR="001B2347">
        <w:t xml:space="preserve">of the </w:t>
      </w:r>
      <w:proofErr w:type="spellStart"/>
      <w:r w:rsidR="001B2347">
        <w:t>estimand</w:t>
      </w:r>
      <w:proofErr w:type="spellEnd"/>
      <w:r w:rsidR="001B2347">
        <w:t xml:space="preserve"> framework has helped discussion of the issues. </w:t>
      </w:r>
      <w:r w:rsidR="008D0822">
        <w:t xml:space="preserve">The MHRA statisticians find it difficult to discuss </w:t>
      </w:r>
      <w:proofErr w:type="spellStart"/>
      <w:r w:rsidR="008D0822">
        <w:t>estimands</w:t>
      </w:r>
      <w:proofErr w:type="spellEnd"/>
      <w:r w:rsidR="008D0822">
        <w:t xml:space="preserve"> if there is no statistician from the company in the room</w:t>
      </w:r>
      <w:r w:rsidR="00853DF1">
        <w:t xml:space="preserve">, although they </w:t>
      </w:r>
      <w:r w:rsidR="00D55563">
        <w:t>seem to be</w:t>
      </w:r>
      <w:r w:rsidR="00853DF1">
        <w:t xml:space="preserve"> seeing more statisticians at meetings since they have gone virtual</w:t>
      </w:r>
      <w:r w:rsidR="008D0822">
        <w:t>.</w:t>
      </w:r>
      <w:r w:rsidR="00853DF1">
        <w:t xml:space="preserve">  </w:t>
      </w:r>
      <w:r w:rsidR="006D0AA1">
        <w:t>T</w:t>
      </w:r>
      <w:r w:rsidR="00853DF1">
        <w:t>he handling of terminal events</w:t>
      </w:r>
      <w:r w:rsidR="006D0AA1">
        <w:t xml:space="preserve"> is a </w:t>
      </w:r>
      <w:r w:rsidR="00703A5F">
        <w:t xml:space="preserve">particularly </w:t>
      </w:r>
      <w:r w:rsidR="006D0AA1">
        <w:t xml:space="preserve">challenging issue, with no </w:t>
      </w:r>
      <w:r w:rsidR="00DC1CDE">
        <w:t>consensus on the best approach so far</w:t>
      </w:r>
      <w:r w:rsidR="00853DF1">
        <w:t xml:space="preserve">.  </w:t>
      </w:r>
    </w:p>
    <w:p w14:paraId="5DA3A395" w14:textId="43F9F824" w:rsidR="00B5205F" w:rsidRPr="00B5205F" w:rsidRDefault="00853DF1" w:rsidP="00704508">
      <w:r>
        <w:t xml:space="preserve">The </w:t>
      </w:r>
      <w:proofErr w:type="spellStart"/>
      <w:r w:rsidR="000A7EB6">
        <w:t>estimand</w:t>
      </w:r>
      <w:proofErr w:type="spellEnd"/>
      <w:r w:rsidR="000A7EB6">
        <w:t xml:space="preserve"> </w:t>
      </w:r>
      <w:r w:rsidR="0027471C">
        <w:t>i</w:t>
      </w:r>
      <w:r>
        <w:t>mplementation working group</w:t>
      </w:r>
      <w:r w:rsidR="000A7EB6">
        <w:t xml:space="preserve"> (EIWG)</w:t>
      </w:r>
      <w:r>
        <w:t xml:space="preserve"> </w:t>
      </w:r>
      <w:r w:rsidR="000A7EB6">
        <w:t>has</w:t>
      </w:r>
      <w:r w:rsidR="003E327F">
        <w:t xml:space="preserve"> carried</w:t>
      </w:r>
      <w:r>
        <w:t xml:space="preserve"> </w:t>
      </w:r>
      <w:r w:rsidR="0027471C">
        <w:t xml:space="preserve">out </w:t>
      </w:r>
      <w:r>
        <w:t>a survey to identify barriers to uptake</w:t>
      </w:r>
      <w:r w:rsidR="00943A71">
        <w:t xml:space="preserve">, and they are contacting journal editors </w:t>
      </w:r>
      <w:r w:rsidR="002F1440">
        <w:t xml:space="preserve">to determine </w:t>
      </w:r>
      <w:r w:rsidR="003E327F">
        <w:t xml:space="preserve">when </w:t>
      </w:r>
      <w:proofErr w:type="spellStart"/>
      <w:r w:rsidR="00943A71">
        <w:t>estimands</w:t>
      </w:r>
      <w:proofErr w:type="spellEnd"/>
      <w:r w:rsidR="00943A71">
        <w:t xml:space="preserve"> are described incorrectly in scientific papers.</w:t>
      </w:r>
      <w:r>
        <w:t xml:space="preserve"> </w:t>
      </w:r>
      <w:r w:rsidR="003E327F">
        <w:t xml:space="preserve">The survey highlighted </w:t>
      </w:r>
      <w:r>
        <w:t xml:space="preserve">that there is very low uptake </w:t>
      </w:r>
      <w:r w:rsidR="002428EA">
        <w:t xml:space="preserve">of </w:t>
      </w:r>
      <w:proofErr w:type="spellStart"/>
      <w:r w:rsidR="002428EA">
        <w:t>estimands</w:t>
      </w:r>
      <w:proofErr w:type="spellEnd"/>
      <w:r w:rsidR="002428EA">
        <w:t xml:space="preserve"> </w:t>
      </w:r>
      <w:r>
        <w:t xml:space="preserve">in academic trials.  There will be a publication </w:t>
      </w:r>
      <w:r w:rsidR="0027471C">
        <w:t xml:space="preserve">to </w:t>
      </w:r>
      <w:r>
        <w:t>celebrat</w:t>
      </w:r>
      <w:r w:rsidR="0027471C">
        <w:t>e</w:t>
      </w:r>
      <w:r>
        <w:t xml:space="preserve"> </w:t>
      </w:r>
      <w:r w:rsidR="0027471C">
        <w:t>two</w:t>
      </w:r>
      <w:r>
        <w:t xml:space="preserve"> years of </w:t>
      </w:r>
      <w:proofErr w:type="spellStart"/>
      <w:r>
        <w:t>estimand</w:t>
      </w:r>
      <w:proofErr w:type="spellEnd"/>
      <w:r>
        <w:t xml:space="preserve"> uptake.</w:t>
      </w:r>
      <w:r w:rsidR="000F2E24">
        <w:t xml:space="preserve">  </w:t>
      </w:r>
      <w:r w:rsidR="002D3C02">
        <w:t xml:space="preserve">The EIWG has </w:t>
      </w:r>
      <w:r w:rsidR="00C15A86">
        <w:t>developed a</w:t>
      </w:r>
      <w:r w:rsidR="000F2E24">
        <w:t xml:space="preserve"> </w:t>
      </w:r>
      <w:proofErr w:type="spellStart"/>
      <w:r w:rsidR="000F2E24">
        <w:t>Transcelerate</w:t>
      </w:r>
      <w:proofErr w:type="spellEnd"/>
      <w:r w:rsidR="000F2E24">
        <w:t xml:space="preserve"> protocol template </w:t>
      </w:r>
      <w:r w:rsidR="0027471C">
        <w:t xml:space="preserve">that </w:t>
      </w:r>
      <w:r w:rsidR="000F2E24">
        <w:t xml:space="preserve">includes </w:t>
      </w:r>
      <w:proofErr w:type="spellStart"/>
      <w:r w:rsidR="000F2E24">
        <w:t>estimand</w:t>
      </w:r>
      <w:r w:rsidR="0027471C">
        <w:t>s</w:t>
      </w:r>
      <w:proofErr w:type="spellEnd"/>
      <w:r w:rsidR="000F2E24">
        <w:t xml:space="preserve">.  </w:t>
      </w:r>
      <w:r w:rsidR="003451B2">
        <w:t xml:space="preserve">The EIWG has drafted a paper on </w:t>
      </w:r>
      <w:r w:rsidR="0078063F">
        <w:t>the impact of missing data on estimation when a treatment-policy strategy is being used for handling intercurrent events.</w:t>
      </w:r>
      <w:r w:rsidR="000F2E24">
        <w:t xml:space="preserve">  </w:t>
      </w:r>
      <w:r w:rsidR="00C15A86">
        <w:t xml:space="preserve">The EIWG are working on other topics such as </w:t>
      </w:r>
      <w:r w:rsidR="00D42188">
        <w:t>use</w:t>
      </w:r>
      <w:r w:rsidR="001206BF">
        <w:t xml:space="preserve"> </w:t>
      </w:r>
      <w:r w:rsidR="0027471C">
        <w:t xml:space="preserve">of </w:t>
      </w:r>
      <w:proofErr w:type="spellStart"/>
      <w:r w:rsidR="0027471C">
        <w:t>estimands</w:t>
      </w:r>
      <w:proofErr w:type="spellEnd"/>
      <w:r w:rsidR="0027471C">
        <w:t xml:space="preserve"> </w:t>
      </w:r>
      <w:r w:rsidR="001206BF">
        <w:t xml:space="preserve">in early phase </w:t>
      </w:r>
      <w:r w:rsidR="0027471C">
        <w:t xml:space="preserve">trials </w:t>
      </w:r>
      <w:r w:rsidR="001206BF">
        <w:t xml:space="preserve">and for </w:t>
      </w:r>
      <w:proofErr w:type="spellStart"/>
      <w:r w:rsidR="001206BF">
        <w:t>PROs.</w:t>
      </w:r>
      <w:proofErr w:type="spellEnd"/>
      <w:r w:rsidR="001206BF">
        <w:t xml:space="preserve">  The </w:t>
      </w:r>
      <w:proofErr w:type="spellStart"/>
      <w:r w:rsidR="001206BF">
        <w:t>estimand</w:t>
      </w:r>
      <w:proofErr w:type="spellEnd"/>
      <w:r w:rsidR="001206BF">
        <w:t xml:space="preserve"> framework has helped discussion</w:t>
      </w:r>
      <w:r w:rsidR="00D55249">
        <w:t xml:space="preserve">s in recent issues, such as </w:t>
      </w:r>
      <w:r w:rsidR="00DD4AC7">
        <w:t>the impact of covid-19</w:t>
      </w:r>
      <w:r w:rsidR="006079CB">
        <w:t>-related events</w:t>
      </w:r>
      <w:r w:rsidR="00DD4AC7">
        <w:t xml:space="preserve"> on clinical trials</w:t>
      </w:r>
      <w:r w:rsidR="001206BF">
        <w:t>.</w:t>
      </w:r>
      <w:r w:rsidR="004A00A6">
        <w:t xml:space="preserve">  </w:t>
      </w:r>
      <w:r w:rsidR="00B5205F">
        <w:t xml:space="preserve"> </w:t>
      </w:r>
    </w:p>
    <w:p w14:paraId="6A9C7E33" w14:textId="6B363603" w:rsidR="00F23E01" w:rsidRDefault="00F23E01" w:rsidP="00704508">
      <w:r>
        <w:t xml:space="preserve">The MHRA has incorporated the </w:t>
      </w:r>
      <w:proofErr w:type="spellStart"/>
      <w:r>
        <w:t>estimands</w:t>
      </w:r>
      <w:proofErr w:type="spellEnd"/>
      <w:r>
        <w:t xml:space="preserve"> concept in its</w:t>
      </w:r>
      <w:r w:rsidR="00CD57E0">
        <w:t xml:space="preserve"> guidance </w:t>
      </w:r>
      <w:r w:rsidR="00D75A17" w:rsidRPr="00D75A17">
        <w:t>on minimising disruptions to the conduct and integrity of clinical trials of medicines during COVID-19</w:t>
      </w:r>
    </w:p>
    <w:p w14:paraId="6E23BA61" w14:textId="272A79F6" w:rsidR="00CD57E0" w:rsidRDefault="00CD57E0" w:rsidP="00704508">
      <w:r w:rsidRPr="00CD57E0">
        <w:t>https://www.gov.uk/guidance/guidance-on-minimising-disruptions-to-the-conduct-and-integrity-of-clinical-trials-of-medicines-during-covid-19</w:t>
      </w:r>
    </w:p>
    <w:p w14:paraId="12E78A1C" w14:textId="094B0F30" w:rsidR="00730375" w:rsidRPr="00D873AC" w:rsidRDefault="00730375" w:rsidP="00EF18D7">
      <w:pPr>
        <w:pStyle w:val="CommentText"/>
        <w:rPr>
          <w:sz w:val="22"/>
          <w:szCs w:val="22"/>
        </w:rPr>
      </w:pPr>
      <w:r w:rsidRPr="00D873AC">
        <w:rPr>
          <w:sz w:val="22"/>
          <w:szCs w:val="22"/>
        </w:rPr>
        <w:t xml:space="preserve"> </w:t>
      </w:r>
      <w:r w:rsidR="00D873AC" w:rsidRPr="00D873AC">
        <w:rPr>
          <w:sz w:val="22"/>
          <w:szCs w:val="22"/>
        </w:rPr>
        <w:t>Frances Lynn</w:t>
      </w:r>
      <w:r w:rsidR="00D873AC">
        <w:rPr>
          <w:sz w:val="22"/>
          <w:szCs w:val="22"/>
        </w:rPr>
        <w:t xml:space="preserve"> (Orchard Therapeutics) on behalf of the European Regulatory Special Interest Group</w:t>
      </w:r>
    </w:p>
    <w:p w14:paraId="45DC1191" w14:textId="77777777" w:rsidR="00D873AC" w:rsidRPr="00704508" w:rsidRDefault="00D873AC" w:rsidP="00EF18D7">
      <w:pPr>
        <w:pStyle w:val="CommentText"/>
      </w:pPr>
    </w:p>
    <w:sectPr w:rsidR="00D873AC" w:rsidRPr="00704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ADE1" w14:textId="77777777" w:rsidR="001D2442" w:rsidRDefault="001D2442" w:rsidP="00B41647">
      <w:pPr>
        <w:spacing w:after="0" w:line="240" w:lineRule="auto"/>
      </w:pPr>
      <w:r>
        <w:separator/>
      </w:r>
    </w:p>
  </w:endnote>
  <w:endnote w:type="continuationSeparator" w:id="0">
    <w:p w14:paraId="16123CFD" w14:textId="77777777" w:rsidR="001D2442" w:rsidRDefault="001D2442" w:rsidP="00B41647">
      <w:pPr>
        <w:spacing w:after="0" w:line="240" w:lineRule="auto"/>
      </w:pPr>
      <w:r>
        <w:continuationSeparator/>
      </w:r>
    </w:p>
  </w:endnote>
  <w:endnote w:type="continuationNotice" w:id="1">
    <w:p w14:paraId="0DA9354E" w14:textId="77777777" w:rsidR="001D2442" w:rsidRDefault="001D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1B31" w14:textId="77777777" w:rsidR="001D2442" w:rsidRDefault="001D2442" w:rsidP="00B41647">
      <w:pPr>
        <w:spacing w:after="0" w:line="240" w:lineRule="auto"/>
      </w:pPr>
      <w:r>
        <w:separator/>
      </w:r>
    </w:p>
  </w:footnote>
  <w:footnote w:type="continuationSeparator" w:id="0">
    <w:p w14:paraId="765FA66D" w14:textId="77777777" w:rsidR="001D2442" w:rsidRDefault="001D2442" w:rsidP="00B41647">
      <w:pPr>
        <w:spacing w:after="0" w:line="240" w:lineRule="auto"/>
      </w:pPr>
      <w:r>
        <w:continuationSeparator/>
      </w:r>
    </w:p>
  </w:footnote>
  <w:footnote w:type="continuationNotice" w:id="1">
    <w:p w14:paraId="38D678AF" w14:textId="77777777" w:rsidR="001D2442" w:rsidRDefault="001D24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7F0A"/>
    <w:multiLevelType w:val="hybridMultilevel"/>
    <w:tmpl w:val="05EC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A5BCA"/>
    <w:multiLevelType w:val="multilevel"/>
    <w:tmpl w:val="41501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F1542"/>
    <w:multiLevelType w:val="hybridMultilevel"/>
    <w:tmpl w:val="5CBE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6209E"/>
    <w:multiLevelType w:val="hybridMultilevel"/>
    <w:tmpl w:val="1A745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08"/>
    <w:rsid w:val="0001421A"/>
    <w:rsid w:val="0002677E"/>
    <w:rsid w:val="00030659"/>
    <w:rsid w:val="0003131B"/>
    <w:rsid w:val="00065CED"/>
    <w:rsid w:val="00080F8C"/>
    <w:rsid w:val="000A37A4"/>
    <w:rsid w:val="000A7EB6"/>
    <w:rsid w:val="000B1667"/>
    <w:rsid w:val="000B63C7"/>
    <w:rsid w:val="000C2D54"/>
    <w:rsid w:val="000D05A2"/>
    <w:rsid w:val="000D10D5"/>
    <w:rsid w:val="000D19AD"/>
    <w:rsid w:val="000F2E24"/>
    <w:rsid w:val="000F68C3"/>
    <w:rsid w:val="000F6C44"/>
    <w:rsid w:val="001206BF"/>
    <w:rsid w:val="0012686F"/>
    <w:rsid w:val="001275EC"/>
    <w:rsid w:val="001353D3"/>
    <w:rsid w:val="00183B69"/>
    <w:rsid w:val="00187930"/>
    <w:rsid w:val="001A348B"/>
    <w:rsid w:val="001A7F18"/>
    <w:rsid w:val="001B2347"/>
    <w:rsid w:val="001B5285"/>
    <w:rsid w:val="001C00D5"/>
    <w:rsid w:val="001D099E"/>
    <w:rsid w:val="001D2442"/>
    <w:rsid w:val="001D4DCF"/>
    <w:rsid w:val="001D6892"/>
    <w:rsid w:val="001E2243"/>
    <w:rsid w:val="001E596D"/>
    <w:rsid w:val="00200676"/>
    <w:rsid w:val="00216527"/>
    <w:rsid w:val="00230CB2"/>
    <w:rsid w:val="00234BB0"/>
    <w:rsid w:val="002359AB"/>
    <w:rsid w:val="002428EA"/>
    <w:rsid w:val="00250AB7"/>
    <w:rsid w:val="002525F7"/>
    <w:rsid w:val="00272C68"/>
    <w:rsid w:val="0027471C"/>
    <w:rsid w:val="00275B6D"/>
    <w:rsid w:val="002836CB"/>
    <w:rsid w:val="002877D3"/>
    <w:rsid w:val="002971EE"/>
    <w:rsid w:val="00297FDF"/>
    <w:rsid w:val="002B4058"/>
    <w:rsid w:val="002C2575"/>
    <w:rsid w:val="002C5E80"/>
    <w:rsid w:val="002D3C02"/>
    <w:rsid w:val="002D752B"/>
    <w:rsid w:val="002F1440"/>
    <w:rsid w:val="00302FE3"/>
    <w:rsid w:val="00303660"/>
    <w:rsid w:val="003222F9"/>
    <w:rsid w:val="0032398C"/>
    <w:rsid w:val="00342D63"/>
    <w:rsid w:val="00343A9B"/>
    <w:rsid w:val="003451B2"/>
    <w:rsid w:val="003556A9"/>
    <w:rsid w:val="00361FEB"/>
    <w:rsid w:val="0037528A"/>
    <w:rsid w:val="00381E0A"/>
    <w:rsid w:val="0039407F"/>
    <w:rsid w:val="003A6E03"/>
    <w:rsid w:val="003E3130"/>
    <w:rsid w:val="003E327F"/>
    <w:rsid w:val="00405A39"/>
    <w:rsid w:val="004100B7"/>
    <w:rsid w:val="00417AE0"/>
    <w:rsid w:val="00437CAC"/>
    <w:rsid w:val="004432AE"/>
    <w:rsid w:val="00446AC1"/>
    <w:rsid w:val="004565AA"/>
    <w:rsid w:val="004574AB"/>
    <w:rsid w:val="00474B60"/>
    <w:rsid w:val="004846E5"/>
    <w:rsid w:val="0048549D"/>
    <w:rsid w:val="00487A2F"/>
    <w:rsid w:val="004A00A6"/>
    <w:rsid w:val="004A1497"/>
    <w:rsid w:val="004B4545"/>
    <w:rsid w:val="004B7887"/>
    <w:rsid w:val="004C1769"/>
    <w:rsid w:val="004C261C"/>
    <w:rsid w:val="004D354E"/>
    <w:rsid w:val="004D5831"/>
    <w:rsid w:val="004F1D6C"/>
    <w:rsid w:val="0051235F"/>
    <w:rsid w:val="00523632"/>
    <w:rsid w:val="0052427F"/>
    <w:rsid w:val="00527AB9"/>
    <w:rsid w:val="00533E82"/>
    <w:rsid w:val="00545D76"/>
    <w:rsid w:val="005500A3"/>
    <w:rsid w:val="00554022"/>
    <w:rsid w:val="00566DEC"/>
    <w:rsid w:val="005760ED"/>
    <w:rsid w:val="00580839"/>
    <w:rsid w:val="005A1468"/>
    <w:rsid w:val="005A511B"/>
    <w:rsid w:val="005E0170"/>
    <w:rsid w:val="005E6A8C"/>
    <w:rsid w:val="005F2EC6"/>
    <w:rsid w:val="005F456C"/>
    <w:rsid w:val="00604E3C"/>
    <w:rsid w:val="006079CB"/>
    <w:rsid w:val="00615D77"/>
    <w:rsid w:val="0062485B"/>
    <w:rsid w:val="00635B90"/>
    <w:rsid w:val="006451D5"/>
    <w:rsid w:val="00687DCA"/>
    <w:rsid w:val="006939D3"/>
    <w:rsid w:val="006A1147"/>
    <w:rsid w:val="006A22C4"/>
    <w:rsid w:val="006A7C48"/>
    <w:rsid w:val="006A7E0C"/>
    <w:rsid w:val="006B7A86"/>
    <w:rsid w:val="006C51C1"/>
    <w:rsid w:val="006D0420"/>
    <w:rsid w:val="006D0815"/>
    <w:rsid w:val="006D0AA1"/>
    <w:rsid w:val="006D0EEA"/>
    <w:rsid w:val="006D30DE"/>
    <w:rsid w:val="006D48E5"/>
    <w:rsid w:val="006F1190"/>
    <w:rsid w:val="006F4D9C"/>
    <w:rsid w:val="006F6062"/>
    <w:rsid w:val="00700C27"/>
    <w:rsid w:val="00703A5F"/>
    <w:rsid w:val="00704508"/>
    <w:rsid w:val="00707B5A"/>
    <w:rsid w:val="00711BE6"/>
    <w:rsid w:val="00725A2F"/>
    <w:rsid w:val="00730375"/>
    <w:rsid w:val="00735C0E"/>
    <w:rsid w:val="0075128F"/>
    <w:rsid w:val="00752F60"/>
    <w:rsid w:val="00763C3B"/>
    <w:rsid w:val="0077263D"/>
    <w:rsid w:val="00777AF5"/>
    <w:rsid w:val="0078063F"/>
    <w:rsid w:val="00785A3E"/>
    <w:rsid w:val="00794211"/>
    <w:rsid w:val="007A66DC"/>
    <w:rsid w:val="007B1E37"/>
    <w:rsid w:val="007C3954"/>
    <w:rsid w:val="007C3F02"/>
    <w:rsid w:val="007F6276"/>
    <w:rsid w:val="00805532"/>
    <w:rsid w:val="008066F3"/>
    <w:rsid w:val="0083528F"/>
    <w:rsid w:val="0083758E"/>
    <w:rsid w:val="00840625"/>
    <w:rsid w:val="00842181"/>
    <w:rsid w:val="0085304A"/>
    <w:rsid w:val="00853DF1"/>
    <w:rsid w:val="00856626"/>
    <w:rsid w:val="0088235D"/>
    <w:rsid w:val="00886536"/>
    <w:rsid w:val="008955F6"/>
    <w:rsid w:val="00896099"/>
    <w:rsid w:val="008A1507"/>
    <w:rsid w:val="008A68BF"/>
    <w:rsid w:val="008A71AC"/>
    <w:rsid w:val="008B2F6D"/>
    <w:rsid w:val="008D0822"/>
    <w:rsid w:val="008D54D9"/>
    <w:rsid w:val="008E085A"/>
    <w:rsid w:val="008E1835"/>
    <w:rsid w:val="008F03C0"/>
    <w:rsid w:val="008F12C3"/>
    <w:rsid w:val="009209B3"/>
    <w:rsid w:val="00922315"/>
    <w:rsid w:val="00943A71"/>
    <w:rsid w:val="00944A42"/>
    <w:rsid w:val="009536DB"/>
    <w:rsid w:val="00955388"/>
    <w:rsid w:val="00967DE3"/>
    <w:rsid w:val="00972183"/>
    <w:rsid w:val="0098314C"/>
    <w:rsid w:val="00985D65"/>
    <w:rsid w:val="00997CE8"/>
    <w:rsid w:val="009B5586"/>
    <w:rsid w:val="009C409A"/>
    <w:rsid w:val="009D1C5A"/>
    <w:rsid w:val="009D75AD"/>
    <w:rsid w:val="009E2305"/>
    <w:rsid w:val="009E2AE9"/>
    <w:rsid w:val="009E380A"/>
    <w:rsid w:val="009E6E87"/>
    <w:rsid w:val="009F4835"/>
    <w:rsid w:val="00A15478"/>
    <w:rsid w:val="00A30806"/>
    <w:rsid w:val="00A51598"/>
    <w:rsid w:val="00A758F1"/>
    <w:rsid w:val="00A84486"/>
    <w:rsid w:val="00A94894"/>
    <w:rsid w:val="00AA04C0"/>
    <w:rsid w:val="00AA5A31"/>
    <w:rsid w:val="00AB24D3"/>
    <w:rsid w:val="00AC271F"/>
    <w:rsid w:val="00AD2790"/>
    <w:rsid w:val="00AD336C"/>
    <w:rsid w:val="00AD3443"/>
    <w:rsid w:val="00AD724E"/>
    <w:rsid w:val="00AD73C1"/>
    <w:rsid w:val="00AE20CD"/>
    <w:rsid w:val="00AE40EA"/>
    <w:rsid w:val="00AE6097"/>
    <w:rsid w:val="00AF02B2"/>
    <w:rsid w:val="00AF2955"/>
    <w:rsid w:val="00AF745E"/>
    <w:rsid w:val="00B0366F"/>
    <w:rsid w:val="00B21825"/>
    <w:rsid w:val="00B308C6"/>
    <w:rsid w:val="00B406C8"/>
    <w:rsid w:val="00B41647"/>
    <w:rsid w:val="00B41A80"/>
    <w:rsid w:val="00B44834"/>
    <w:rsid w:val="00B5205F"/>
    <w:rsid w:val="00B54639"/>
    <w:rsid w:val="00B80693"/>
    <w:rsid w:val="00B9735B"/>
    <w:rsid w:val="00BB189B"/>
    <w:rsid w:val="00BC1359"/>
    <w:rsid w:val="00BC274E"/>
    <w:rsid w:val="00BC29CE"/>
    <w:rsid w:val="00BD1021"/>
    <w:rsid w:val="00BE1FD5"/>
    <w:rsid w:val="00BE66A9"/>
    <w:rsid w:val="00BE78E2"/>
    <w:rsid w:val="00BF29D5"/>
    <w:rsid w:val="00C00A89"/>
    <w:rsid w:val="00C13F9C"/>
    <w:rsid w:val="00C15A86"/>
    <w:rsid w:val="00C221E4"/>
    <w:rsid w:val="00C24FC7"/>
    <w:rsid w:val="00C32464"/>
    <w:rsid w:val="00C45739"/>
    <w:rsid w:val="00C545AC"/>
    <w:rsid w:val="00C61BBC"/>
    <w:rsid w:val="00C66C39"/>
    <w:rsid w:val="00CB76CB"/>
    <w:rsid w:val="00CC015D"/>
    <w:rsid w:val="00CC0FD5"/>
    <w:rsid w:val="00CD2C30"/>
    <w:rsid w:val="00CD57E0"/>
    <w:rsid w:val="00CF23E0"/>
    <w:rsid w:val="00CF5A1E"/>
    <w:rsid w:val="00D0717C"/>
    <w:rsid w:val="00D42188"/>
    <w:rsid w:val="00D45C58"/>
    <w:rsid w:val="00D4642F"/>
    <w:rsid w:val="00D50E8D"/>
    <w:rsid w:val="00D55249"/>
    <w:rsid w:val="00D55563"/>
    <w:rsid w:val="00D60A87"/>
    <w:rsid w:val="00D62E6C"/>
    <w:rsid w:val="00D6400E"/>
    <w:rsid w:val="00D75A17"/>
    <w:rsid w:val="00D80252"/>
    <w:rsid w:val="00D8297E"/>
    <w:rsid w:val="00D86014"/>
    <w:rsid w:val="00D868E2"/>
    <w:rsid w:val="00D873AC"/>
    <w:rsid w:val="00D873F3"/>
    <w:rsid w:val="00D96796"/>
    <w:rsid w:val="00DB036D"/>
    <w:rsid w:val="00DC1CDE"/>
    <w:rsid w:val="00DC2082"/>
    <w:rsid w:val="00DC292C"/>
    <w:rsid w:val="00DC50F0"/>
    <w:rsid w:val="00DC6C9C"/>
    <w:rsid w:val="00DD4AC7"/>
    <w:rsid w:val="00DD6CD8"/>
    <w:rsid w:val="00DE3A7A"/>
    <w:rsid w:val="00E05629"/>
    <w:rsid w:val="00E05D48"/>
    <w:rsid w:val="00E30127"/>
    <w:rsid w:val="00E3473D"/>
    <w:rsid w:val="00E36DDB"/>
    <w:rsid w:val="00E37561"/>
    <w:rsid w:val="00E44076"/>
    <w:rsid w:val="00E55D54"/>
    <w:rsid w:val="00E76E3F"/>
    <w:rsid w:val="00E90CDA"/>
    <w:rsid w:val="00E929D0"/>
    <w:rsid w:val="00E97BED"/>
    <w:rsid w:val="00EB334E"/>
    <w:rsid w:val="00ED56D8"/>
    <w:rsid w:val="00EE6E56"/>
    <w:rsid w:val="00EF18D7"/>
    <w:rsid w:val="00EF42F2"/>
    <w:rsid w:val="00EF76BE"/>
    <w:rsid w:val="00F02300"/>
    <w:rsid w:val="00F04AB8"/>
    <w:rsid w:val="00F23E01"/>
    <w:rsid w:val="00F24E65"/>
    <w:rsid w:val="00F36B27"/>
    <w:rsid w:val="00F42393"/>
    <w:rsid w:val="00F54E76"/>
    <w:rsid w:val="00F565B4"/>
    <w:rsid w:val="00F67E63"/>
    <w:rsid w:val="00F832CD"/>
    <w:rsid w:val="00F91DC3"/>
    <w:rsid w:val="00F92C75"/>
    <w:rsid w:val="00F9742B"/>
    <w:rsid w:val="00FB1A9A"/>
    <w:rsid w:val="00FC654F"/>
    <w:rsid w:val="00FD00E1"/>
    <w:rsid w:val="00FD2E92"/>
    <w:rsid w:val="00FD4818"/>
    <w:rsid w:val="00FD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2E1A"/>
  <w15:chartTrackingRefBased/>
  <w15:docId w15:val="{7DDE9EFF-A6BB-43D0-8DC7-69437F20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085A"/>
    <w:rPr>
      <w:sz w:val="16"/>
      <w:szCs w:val="16"/>
    </w:rPr>
  </w:style>
  <w:style w:type="paragraph" w:styleId="CommentText">
    <w:name w:val="annotation text"/>
    <w:basedOn w:val="Normal"/>
    <w:link w:val="CommentTextChar"/>
    <w:uiPriority w:val="99"/>
    <w:unhideWhenUsed/>
    <w:rsid w:val="008E085A"/>
    <w:pPr>
      <w:spacing w:line="240" w:lineRule="auto"/>
    </w:pPr>
    <w:rPr>
      <w:sz w:val="20"/>
      <w:szCs w:val="20"/>
    </w:rPr>
  </w:style>
  <w:style w:type="character" w:customStyle="1" w:styleId="CommentTextChar">
    <w:name w:val="Comment Text Char"/>
    <w:basedOn w:val="DefaultParagraphFont"/>
    <w:link w:val="CommentText"/>
    <w:uiPriority w:val="99"/>
    <w:rsid w:val="008E085A"/>
    <w:rPr>
      <w:sz w:val="20"/>
      <w:szCs w:val="20"/>
    </w:rPr>
  </w:style>
  <w:style w:type="paragraph" w:styleId="CommentSubject">
    <w:name w:val="annotation subject"/>
    <w:basedOn w:val="CommentText"/>
    <w:next w:val="CommentText"/>
    <w:link w:val="CommentSubjectChar"/>
    <w:uiPriority w:val="99"/>
    <w:semiHidden/>
    <w:unhideWhenUsed/>
    <w:rsid w:val="008E085A"/>
    <w:rPr>
      <w:b/>
      <w:bCs/>
    </w:rPr>
  </w:style>
  <w:style w:type="character" w:customStyle="1" w:styleId="CommentSubjectChar">
    <w:name w:val="Comment Subject Char"/>
    <w:basedOn w:val="CommentTextChar"/>
    <w:link w:val="CommentSubject"/>
    <w:uiPriority w:val="99"/>
    <w:semiHidden/>
    <w:rsid w:val="008E085A"/>
    <w:rPr>
      <w:b/>
      <w:bCs/>
      <w:sz w:val="20"/>
      <w:szCs w:val="20"/>
    </w:rPr>
  </w:style>
  <w:style w:type="paragraph" w:styleId="ListParagraph">
    <w:name w:val="List Paragraph"/>
    <w:basedOn w:val="Normal"/>
    <w:uiPriority w:val="34"/>
    <w:qFormat/>
    <w:rsid w:val="009536DB"/>
    <w:pPr>
      <w:ind w:left="720"/>
      <w:contextualSpacing/>
    </w:pPr>
    <w:rPr>
      <w:lang w:val="en-US"/>
    </w:rPr>
  </w:style>
  <w:style w:type="table" w:styleId="TableGrid">
    <w:name w:val="Table Grid"/>
    <w:basedOn w:val="TableNormal"/>
    <w:uiPriority w:val="39"/>
    <w:rsid w:val="001D6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E87"/>
    <w:rPr>
      <w:color w:val="0563C1" w:themeColor="hyperlink"/>
      <w:u w:val="single"/>
    </w:rPr>
  </w:style>
  <w:style w:type="character" w:customStyle="1" w:styleId="UnresolvedMention1">
    <w:name w:val="Unresolved Mention1"/>
    <w:basedOn w:val="DefaultParagraphFont"/>
    <w:uiPriority w:val="99"/>
    <w:semiHidden/>
    <w:unhideWhenUsed/>
    <w:rsid w:val="009E6E87"/>
    <w:rPr>
      <w:color w:val="605E5C"/>
      <w:shd w:val="clear" w:color="auto" w:fill="E1DFDD"/>
    </w:rPr>
  </w:style>
  <w:style w:type="paragraph" w:styleId="Revision">
    <w:name w:val="Revision"/>
    <w:hidden/>
    <w:uiPriority w:val="99"/>
    <w:semiHidden/>
    <w:rsid w:val="0048549D"/>
    <w:pPr>
      <w:spacing w:after="0" w:line="240" w:lineRule="auto"/>
    </w:pPr>
  </w:style>
  <w:style w:type="paragraph" w:styleId="BalloonText">
    <w:name w:val="Balloon Text"/>
    <w:basedOn w:val="Normal"/>
    <w:link w:val="BalloonTextChar"/>
    <w:uiPriority w:val="99"/>
    <w:semiHidden/>
    <w:unhideWhenUsed/>
    <w:rsid w:val="00E3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DB"/>
    <w:rPr>
      <w:rFonts w:ascii="Segoe UI" w:hAnsi="Segoe UI" w:cs="Segoe UI"/>
      <w:sz w:val="18"/>
      <w:szCs w:val="18"/>
    </w:rPr>
  </w:style>
  <w:style w:type="character" w:styleId="UnresolvedMention">
    <w:name w:val="Unresolved Mention"/>
    <w:basedOn w:val="DefaultParagraphFont"/>
    <w:uiPriority w:val="99"/>
    <w:unhideWhenUsed/>
    <w:rsid w:val="00730375"/>
    <w:rPr>
      <w:color w:val="605E5C"/>
      <w:shd w:val="clear" w:color="auto" w:fill="E1DFDD"/>
    </w:rPr>
  </w:style>
  <w:style w:type="paragraph" w:styleId="Header">
    <w:name w:val="header"/>
    <w:basedOn w:val="Normal"/>
    <w:link w:val="HeaderChar"/>
    <w:uiPriority w:val="99"/>
    <w:semiHidden/>
    <w:unhideWhenUsed/>
    <w:rsid w:val="000D19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19AD"/>
  </w:style>
  <w:style w:type="paragraph" w:styleId="Footer">
    <w:name w:val="footer"/>
    <w:basedOn w:val="Normal"/>
    <w:link w:val="FooterChar"/>
    <w:uiPriority w:val="99"/>
    <w:semiHidden/>
    <w:unhideWhenUsed/>
    <w:rsid w:val="000D19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19AD"/>
  </w:style>
  <w:style w:type="character" w:styleId="Mention">
    <w:name w:val="Mention"/>
    <w:basedOn w:val="DefaultParagraphFont"/>
    <w:uiPriority w:val="99"/>
    <w:unhideWhenUsed/>
    <w:rsid w:val="007C3954"/>
    <w:rPr>
      <w:color w:val="2B579A"/>
      <w:shd w:val="clear" w:color="auto" w:fill="E1DFDD"/>
    </w:rPr>
  </w:style>
  <w:style w:type="character" w:styleId="FollowedHyperlink">
    <w:name w:val="FollowedHyperlink"/>
    <w:basedOn w:val="DefaultParagraphFont"/>
    <w:uiPriority w:val="99"/>
    <w:semiHidden/>
    <w:unhideWhenUsed/>
    <w:rsid w:val="00527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google.com/nihr.ac.uk/remotetrialdelivery/home/remote-trial-delivery-preliminary-guidance-from-the-nihr-remote-trial-del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a.nhs.uk/cw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uidance-on-project-orbis" TargetMode="External"/><Relationship Id="rId5" Type="http://schemas.openxmlformats.org/officeDocument/2006/relationships/styles" Target="styles.xml"/><Relationship Id="rId15" Type="http://schemas.openxmlformats.org/officeDocument/2006/relationships/hyperlink" Target="https://www.acrohealth.org/wp-content/uploads/2020/08/ACRO-QbD-Manual-FINAL-for-WEBSITE-UPLOAD-1.pdf" TargetMode="External"/><Relationship Id="rId10" Type="http://schemas.openxmlformats.org/officeDocument/2006/relationships/hyperlink" Target="https://www.gov.uk/guidance/innovative-licensing-and-access-pathw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on-site-access-to-electronic-health-records-by-sponsor-representatives-in-clinical-t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me and Project" ma:contentTypeID="0x0101005DC155F682264648A38C2A02D853A29A0200EC37A8B4EA950B4ABB0E49D094678A18" ma:contentTypeVersion="11" ma:contentTypeDescription="The base content type for all Agency documents" ma:contentTypeScope="" ma:versionID="de8e36ac1681e703d4380798b56bdfd9">
  <xsd:schema xmlns:xsd="http://www.w3.org/2001/XMLSchema" xmlns:xs="http://www.w3.org/2001/XMLSchema" xmlns:p="http://schemas.microsoft.com/office/2006/metadata/properties" xmlns:ns2="603af227-bd41-4012-ae1b-08ada9265a1f" xmlns:ns3="54a91581-fec2-4713-9fb2-75e850f62710" xmlns:ns4="e65480ce-63c7-48d2-8175-fecbcdc31db9" targetNamespace="http://schemas.microsoft.com/office/2006/metadata/properties" ma:root="true" ma:fieldsID="7bfc959a3c2326d66df6343365e0672c" ns2:_="" ns3:_="" ns4:_="">
    <xsd:import namespace="603af227-bd41-4012-ae1b-08ada9265a1f"/>
    <xsd:import namespace="54a91581-fec2-4713-9fb2-75e850f62710"/>
    <xsd:import namespace="e65480ce-63c7-48d2-8175-fecbcdc31db9"/>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a91581-fec2-4713-9fb2-75e850f6271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480ce-63c7-48d2-8175-fecbcdc31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Props1.xml><?xml version="1.0" encoding="utf-8"?>
<ds:datastoreItem xmlns:ds="http://schemas.openxmlformats.org/officeDocument/2006/customXml" ds:itemID="{44CD91E4-FCE8-4B20-9255-37585926967A}">
  <ds:schemaRefs>
    <ds:schemaRef ds:uri="http://schemas.microsoft.com/sharepoint/v3/contenttype/forms"/>
  </ds:schemaRefs>
</ds:datastoreItem>
</file>

<file path=customXml/itemProps2.xml><?xml version="1.0" encoding="utf-8"?>
<ds:datastoreItem xmlns:ds="http://schemas.openxmlformats.org/officeDocument/2006/customXml" ds:itemID="{E2B8E8E6-308B-493A-83E0-98F1B34B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54a91581-fec2-4713-9fb2-75e850f62710"/>
    <ds:schemaRef ds:uri="e65480ce-63c7-48d2-8175-fecbcdc31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86F63-CF65-4F77-97D3-AE196AFEDD2F}">
  <ds:schemaRefs>
    <ds:schemaRef ds:uri="http://schemas.microsoft.com/office/2006/metadata/properties"/>
    <ds:schemaRef ds:uri="http://schemas.microsoft.com/office/infopath/2007/PartnerControls"/>
    <ds:schemaRef ds:uri="603af227-bd41-4012-ae1b-08ada9265a1f"/>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Links>
    <vt:vector size="48" baseType="variant">
      <vt:variant>
        <vt:i4>4456530</vt:i4>
      </vt:variant>
      <vt:variant>
        <vt:i4>18</vt:i4>
      </vt:variant>
      <vt:variant>
        <vt:i4>0</vt:i4>
      </vt:variant>
      <vt:variant>
        <vt:i4>5</vt:i4>
      </vt:variant>
      <vt:variant>
        <vt:lpwstr>https://www.acrohealth.org/wp-content/uploads/2020/08/ACRO-QbD-Manual-FINAL-for-WEBSITE-UPLOAD-1.pdf</vt:lpwstr>
      </vt:variant>
      <vt:variant>
        <vt:lpwstr/>
      </vt:variant>
      <vt:variant>
        <vt:i4>1114185</vt:i4>
      </vt:variant>
      <vt:variant>
        <vt:i4>15</vt:i4>
      </vt:variant>
      <vt:variant>
        <vt:i4>0</vt:i4>
      </vt:variant>
      <vt:variant>
        <vt:i4>5</vt:i4>
      </vt:variant>
      <vt:variant>
        <vt:lpwstr>https://www.gov.uk/guidance/on-site-access-to-electronic-health-records-by-sponsor-representatives-in-clinical-trials</vt:lpwstr>
      </vt:variant>
      <vt:variant>
        <vt:lpwstr/>
      </vt:variant>
      <vt:variant>
        <vt:i4>6488097</vt:i4>
      </vt:variant>
      <vt:variant>
        <vt:i4>12</vt:i4>
      </vt:variant>
      <vt:variant>
        <vt:i4>0</vt:i4>
      </vt:variant>
      <vt:variant>
        <vt:i4>5</vt:i4>
      </vt:variant>
      <vt:variant>
        <vt:lpwstr>https://sites.google.com/nihr.ac.uk/remotetrialdelivery/home/remote-trial-delivery-preliminary-guidance-from-the-nihr-remote-trial-deli</vt:lpwstr>
      </vt:variant>
      <vt:variant>
        <vt:lpwstr/>
      </vt:variant>
      <vt:variant>
        <vt:i4>7078009</vt:i4>
      </vt:variant>
      <vt:variant>
        <vt:i4>9</vt:i4>
      </vt:variant>
      <vt:variant>
        <vt:i4>0</vt:i4>
      </vt:variant>
      <vt:variant>
        <vt:i4>5</vt:i4>
      </vt:variant>
      <vt:variant>
        <vt:lpwstr>https://hra.nhs.uk/cwow</vt:lpwstr>
      </vt:variant>
      <vt:variant>
        <vt:lpwstr/>
      </vt:variant>
      <vt:variant>
        <vt:i4>5505117</vt:i4>
      </vt:variant>
      <vt:variant>
        <vt:i4>3</vt:i4>
      </vt:variant>
      <vt:variant>
        <vt:i4>0</vt:i4>
      </vt:variant>
      <vt:variant>
        <vt:i4>5</vt:i4>
      </vt:variant>
      <vt:variant>
        <vt:lpwstr>https://www.gov.uk/guidance/guidance-on-project-orbis</vt:lpwstr>
      </vt:variant>
      <vt:variant>
        <vt:lpwstr/>
      </vt:variant>
      <vt:variant>
        <vt:i4>7536694</vt:i4>
      </vt:variant>
      <vt:variant>
        <vt:i4>0</vt:i4>
      </vt:variant>
      <vt:variant>
        <vt:i4>0</vt:i4>
      </vt:variant>
      <vt:variant>
        <vt:i4>5</vt:i4>
      </vt:variant>
      <vt:variant>
        <vt:lpwstr>https://www.gov.uk/guidance/innovative-licensing-and-access-pathway</vt:lpwstr>
      </vt:variant>
      <vt:variant>
        <vt:lpwstr/>
      </vt:variant>
      <vt:variant>
        <vt:i4>6357035</vt:i4>
      </vt:variant>
      <vt:variant>
        <vt:i4>3</vt:i4>
      </vt:variant>
      <vt:variant>
        <vt:i4>0</vt:i4>
      </vt:variant>
      <vt:variant>
        <vt:i4>5</vt:i4>
      </vt:variant>
      <vt:variant>
        <vt:lpwstr>https://www.gov.uk/government/publications/mhra-guidance-on-the-use-of-real-world-data-in-clinical-studies-to-support-regulatory-decisions</vt:lpwstr>
      </vt:variant>
      <vt:variant>
        <vt:lpwstr/>
      </vt:variant>
      <vt:variant>
        <vt:i4>7077956</vt:i4>
      </vt:variant>
      <vt:variant>
        <vt:i4>0</vt:i4>
      </vt:variant>
      <vt:variant>
        <vt:i4>0</vt:i4>
      </vt:variant>
      <vt:variant>
        <vt:i4>5</vt:i4>
      </vt:variant>
      <vt:variant>
        <vt:lpwstr>mailto:David.Brown@mhra.gov.uk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Lynn</dc:creator>
  <cp:keywords/>
  <dc:description/>
  <cp:lastModifiedBy>Frances Lynn</cp:lastModifiedBy>
  <cp:revision>2</cp:revision>
  <dcterms:created xsi:type="dcterms:W3CDTF">2022-02-08T11:54:00Z</dcterms:created>
  <dcterms:modified xsi:type="dcterms:W3CDTF">2022-02-08T11:54:00Z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2021-12-03T16:04:29Z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97c47df7-82a2-4659-8e14-638224f39317</vt:lpwstr>
  </property>
  <property fmtid="{D5CDD505-2E9C-101B-9397-08002B2CF9AE}" pid="8" name="MSIP_Label_3c9bec58-8084-492e-8360-0e1cfe36408c_ContentBits">
    <vt:lpwstr>0</vt:lpwstr>
  </property>
  <property fmtid="{D5CDD505-2E9C-101B-9397-08002B2CF9AE}" pid="9" name="ContentTypeId">
    <vt:lpwstr>0x0101005DC155F682264648A38C2A02D853A29A0200EC37A8B4EA950B4ABB0E49D094678A18</vt:lpwstr>
  </property>
  <property fmtid="{D5CDD505-2E9C-101B-9397-08002B2CF9AE}" pid="10" name="SecurityClassification">
    <vt:lpwstr>1;#Official|9d42bd58-89d2-4e46-94bb-80d8f31efd91</vt:lpwstr>
  </property>
  <property fmtid="{D5CDD505-2E9C-101B-9397-08002B2CF9AE}" pid="11" name="AgencyKeywords">
    <vt:lpwstr/>
  </property>
</Properties>
</file>